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Bdr>
          <w:bottom w:val="none" w:color="auto" w:sz="0" w:space="0"/>
        </w:pBdr>
        <w:rPr>
          <w:rFonts w:ascii="华文新魏" w:hAnsi="华文中宋" w:eastAsia="华文新魏"/>
          <w:b/>
          <w:bCs/>
          <w:color w:val="FF0000"/>
          <w:sz w:val="96"/>
          <w:szCs w:val="96"/>
        </w:rPr>
      </w:pPr>
      <w:r>
        <w:rPr>
          <w:rFonts w:hint="eastAsia" w:ascii="华文新魏" w:hAnsi="华文中宋" w:eastAsia="华文新魏"/>
          <w:b/>
          <w:bCs/>
          <w:color w:val="FF0000"/>
          <w:sz w:val="96"/>
          <w:szCs w:val="96"/>
        </w:rPr>
        <w:t>信息与动态</w:t>
      </w:r>
    </w:p>
    <w:p>
      <w:pPr>
        <w:pStyle w:val="3"/>
        <w:pBdr>
          <w:bottom w:val="none" w:color="auto" w:sz="0" w:space="0"/>
        </w:pBdr>
        <w:rPr>
          <w:color w:val="FF0000"/>
          <w:sz w:val="32"/>
          <w:szCs w:val="32"/>
        </w:rPr>
      </w:pPr>
      <w:r>
        <w:rPr>
          <w:rFonts w:hint="eastAsia"/>
          <w:color w:val="FF0000"/>
          <w:sz w:val="32"/>
          <w:szCs w:val="32"/>
        </w:rPr>
        <w:t>【2</w:t>
      </w:r>
      <w:r>
        <w:rPr>
          <w:color w:val="FF0000"/>
          <w:sz w:val="32"/>
          <w:szCs w:val="32"/>
        </w:rPr>
        <w:t>023</w:t>
      </w:r>
      <w:r>
        <w:rPr>
          <w:rFonts w:hint="eastAsia"/>
          <w:color w:val="FF0000"/>
          <w:sz w:val="32"/>
          <w:szCs w:val="32"/>
        </w:rPr>
        <w:t>第1期】</w:t>
      </w:r>
    </w:p>
    <w:p>
      <w:pPr>
        <w:pStyle w:val="3"/>
        <w:pBdr>
          <w:bottom w:val="none" w:color="auto" w:sz="0" w:space="0"/>
        </w:pBdr>
        <w:rPr>
          <w:sz w:val="36"/>
          <w:szCs w:val="36"/>
        </w:rPr>
      </w:pPr>
    </w:p>
    <w:p>
      <w:pPr>
        <w:pStyle w:val="3"/>
        <w:pBdr>
          <w:bottom w:val="none" w:color="auto" w:sz="0" w:space="0"/>
        </w:pBdr>
        <w:ind w:firstLine="280" w:firstLineChars="100"/>
        <w:jc w:val="both"/>
        <w:rPr>
          <w:rFonts w:ascii="华文中宋" w:hAnsi="华文中宋" w:eastAsia="华文中宋"/>
          <w:sz w:val="28"/>
          <w:szCs w:val="28"/>
        </w:rPr>
      </w:pPr>
      <w:r>
        <w:rPr>
          <w:rFonts w:hint="eastAsia" w:ascii="华文中宋" w:hAnsi="华文中宋" w:eastAsia="华文中宋"/>
          <w:sz w:val="28"/>
          <w:szCs w:val="28"/>
        </w:rPr>
        <w:t xml:space="preserve">宁波化工贸促会秘书处 </w:t>
      </w:r>
      <w:r>
        <w:rPr>
          <w:rFonts w:ascii="华文中宋" w:hAnsi="华文中宋" w:eastAsia="华文中宋"/>
          <w:sz w:val="28"/>
          <w:szCs w:val="28"/>
        </w:rPr>
        <w:t xml:space="preserve">                        2023</w:t>
      </w:r>
      <w:r>
        <w:rPr>
          <w:rFonts w:hint="eastAsia" w:ascii="华文中宋" w:hAnsi="华文中宋" w:eastAsia="华文中宋"/>
          <w:sz w:val="28"/>
          <w:szCs w:val="28"/>
        </w:rPr>
        <w:t>-</w:t>
      </w:r>
      <w:r>
        <w:rPr>
          <w:rFonts w:ascii="华文中宋" w:hAnsi="华文中宋" w:eastAsia="华文中宋"/>
          <w:sz w:val="28"/>
          <w:szCs w:val="28"/>
        </w:rPr>
        <w:t>08</w:t>
      </w:r>
      <w:r>
        <w:rPr>
          <w:rFonts w:hint="eastAsia" w:ascii="华文中宋" w:hAnsi="华文中宋" w:eastAsia="华文中宋"/>
          <w:sz w:val="28"/>
          <w:szCs w:val="28"/>
        </w:rPr>
        <w:t>-</w:t>
      </w:r>
      <w:r>
        <w:rPr>
          <w:rFonts w:ascii="华文中宋" w:hAnsi="华文中宋" w:eastAsia="华文中宋"/>
          <w:sz w:val="28"/>
          <w:szCs w:val="28"/>
        </w:rPr>
        <w:t xml:space="preserve">09        </w:t>
      </w:r>
    </w:p>
    <w:p>
      <w:pPr>
        <w:pStyle w:val="3"/>
        <w:pBdr>
          <w:bottom w:val="none" w:color="auto" w:sz="0" w:space="0"/>
        </w:pBdr>
        <w:jc w:val="both"/>
        <w:rPr>
          <w:sz w:val="32"/>
          <w:szCs w:val="32"/>
        </w:rPr>
      </w:pPr>
      <w:r>
        <w:rPr>
          <w:rFonts w:hint="eastAsia"/>
          <w:sz w:val="32"/>
          <w:szCs w:val="32"/>
        </w:rPr>
        <w:t>-------------------------------------------------------------------------------------</w:t>
      </w:r>
      <w:r>
        <w:rPr>
          <w:sz w:val="32"/>
          <w:szCs w:val="32"/>
        </w:rPr>
        <w:t xml:space="preserve"> </w:t>
      </w:r>
    </w:p>
    <w:p>
      <w:pPr>
        <w:pStyle w:val="9"/>
        <w:spacing w:line="800" w:lineRule="exact"/>
        <w:ind w:left="440" w:firstLine="0" w:firstLineChars="0"/>
        <w:rPr>
          <w:rFonts w:ascii="华文中宋" w:hAnsi="华文中宋" w:eastAsia="华文中宋" w:cs="Times New Roman"/>
          <w:sz w:val="36"/>
          <w:szCs w:val="36"/>
        </w:rPr>
      </w:pPr>
      <w:r>
        <w:rPr>
          <w:rFonts w:hint="eastAsia" w:cs="Times New Roman"/>
          <w:sz w:val="84"/>
          <w:szCs w:val="84"/>
        </w:rPr>
        <w:t xml:space="preserve"> </w:t>
      </w:r>
      <w:r>
        <w:rPr>
          <w:rFonts w:cs="Times New Roman"/>
          <w:sz w:val="84"/>
          <w:szCs w:val="84"/>
        </w:rPr>
        <w:t xml:space="preserve">       </w:t>
      </w:r>
      <w:r>
        <w:rPr>
          <w:rFonts w:hint="eastAsia" w:ascii="华文中宋" w:hAnsi="华文中宋" w:eastAsia="华文中宋" w:cs="Times New Roman"/>
          <w:sz w:val="36"/>
          <w:szCs w:val="36"/>
        </w:rPr>
        <w:t>本期要目</w:t>
      </w:r>
    </w:p>
    <w:p>
      <w:pPr>
        <w:pStyle w:val="9"/>
        <w:numPr>
          <w:ilvl w:val="0"/>
          <w:numId w:val="1"/>
        </w:numPr>
        <w:spacing w:line="360" w:lineRule="auto"/>
        <w:ind w:firstLineChars="0"/>
        <w:rPr>
          <w:rFonts w:ascii="华文中宋" w:hAnsi="华文中宋" w:eastAsia="华文中宋" w:cs="Times New Roman"/>
          <w:sz w:val="28"/>
          <w:szCs w:val="28"/>
        </w:rPr>
      </w:pPr>
      <w:r>
        <w:rPr>
          <w:rFonts w:hint="eastAsia" w:ascii="华文中宋" w:hAnsi="华文中宋" w:eastAsia="华文中宋" w:cs="Times New Roman"/>
          <w:sz w:val="28"/>
          <w:szCs w:val="28"/>
        </w:rPr>
        <w:t>【政策速递】</w:t>
      </w:r>
      <w:bookmarkStart w:id="0" w:name="_Hlk141707288"/>
    </w:p>
    <w:bookmarkEnd w:id="0"/>
    <w:p>
      <w:pPr>
        <w:pStyle w:val="9"/>
        <w:snapToGrid w:val="0"/>
        <w:spacing w:line="360" w:lineRule="auto"/>
        <w:ind w:left="879" w:firstLine="0" w:firstLineChars="0"/>
        <w:rPr>
          <w:rFonts w:ascii="楷体" w:hAnsi="楷体" w:eastAsia="楷体" w:cs="Times New Roman"/>
          <w:sz w:val="28"/>
          <w:szCs w:val="28"/>
        </w:rPr>
      </w:pPr>
      <w:r>
        <w:rPr>
          <w:rFonts w:ascii="楷体" w:hAnsi="楷体" w:eastAsia="楷体" w:cs="Times New Roman"/>
          <w:sz w:val="28"/>
          <w:szCs w:val="28"/>
        </w:rPr>
        <w:t>1</w:t>
      </w:r>
      <w:r>
        <w:rPr>
          <w:rFonts w:hint="eastAsia" w:ascii="楷体" w:hAnsi="楷体" w:eastAsia="楷体" w:cs="Times New Roman"/>
          <w:sz w:val="28"/>
          <w:szCs w:val="28"/>
        </w:rPr>
        <w:t>、《产业结构调整指导目录（2</w:t>
      </w:r>
      <w:r>
        <w:rPr>
          <w:rFonts w:ascii="楷体" w:hAnsi="楷体" w:eastAsia="楷体" w:cs="Times New Roman"/>
          <w:sz w:val="28"/>
          <w:szCs w:val="28"/>
        </w:rPr>
        <w:t>023</w:t>
      </w:r>
      <w:r>
        <w:rPr>
          <w:rFonts w:hint="eastAsia" w:ascii="楷体" w:hAnsi="楷体" w:eastAsia="楷体" w:cs="Times New Roman"/>
          <w:sz w:val="28"/>
          <w:szCs w:val="28"/>
        </w:rPr>
        <w:t>本）征求意见稿》内容框架</w:t>
      </w:r>
    </w:p>
    <w:p>
      <w:pPr>
        <w:pStyle w:val="9"/>
        <w:snapToGrid w:val="0"/>
        <w:spacing w:line="360" w:lineRule="auto"/>
        <w:ind w:left="879" w:firstLine="0" w:firstLineChars="0"/>
        <w:rPr>
          <w:rFonts w:ascii="楷体" w:hAnsi="楷体" w:eastAsia="楷体" w:cs="Times New Roman"/>
          <w:sz w:val="28"/>
          <w:szCs w:val="28"/>
        </w:rPr>
      </w:pPr>
      <w:r>
        <w:rPr>
          <w:rFonts w:ascii="楷体" w:hAnsi="楷体" w:eastAsia="楷体" w:cs="Times New Roman"/>
          <w:sz w:val="28"/>
          <w:szCs w:val="28"/>
        </w:rPr>
        <w:t>2</w:t>
      </w:r>
      <w:r>
        <w:rPr>
          <w:rFonts w:hint="eastAsia" w:ascii="楷体" w:hAnsi="楷体" w:eastAsia="楷体" w:cs="Times New Roman"/>
          <w:sz w:val="28"/>
          <w:szCs w:val="28"/>
        </w:rPr>
        <w:t>、</w:t>
      </w:r>
      <w:r>
        <w:rPr>
          <w:rFonts w:hint="eastAsia" w:ascii="楷体" w:hAnsi="楷体" w:eastAsia="楷体" w:cs="宋体"/>
          <w:spacing w:val="8"/>
          <w:kern w:val="36"/>
          <w:sz w:val="28"/>
          <w:szCs w:val="28"/>
        </w:rPr>
        <w:t>“民营经济31条”</w:t>
      </w:r>
      <w:bookmarkStart w:id="1" w:name="_Hlk141707317"/>
      <w:r>
        <w:rPr>
          <w:rFonts w:hint="eastAsia" w:ascii="楷体" w:hAnsi="楷体" w:eastAsia="楷体" w:cs="宋体"/>
          <w:spacing w:val="8"/>
          <w:kern w:val="36"/>
          <w:sz w:val="28"/>
          <w:szCs w:val="28"/>
        </w:rPr>
        <w:t>新提法受到关注</w:t>
      </w:r>
    </w:p>
    <w:bookmarkEnd w:id="1"/>
    <w:p>
      <w:pPr>
        <w:pStyle w:val="9"/>
        <w:numPr>
          <w:ilvl w:val="0"/>
          <w:numId w:val="1"/>
        </w:numPr>
        <w:spacing w:line="360" w:lineRule="auto"/>
        <w:ind w:firstLineChars="0"/>
        <w:rPr>
          <w:rFonts w:ascii="华文中宋" w:hAnsi="华文中宋" w:eastAsia="华文中宋" w:cs="Times New Roman"/>
          <w:sz w:val="28"/>
          <w:szCs w:val="28"/>
        </w:rPr>
      </w:pPr>
      <w:r>
        <w:rPr>
          <w:rFonts w:hint="eastAsia" w:ascii="楷体" w:hAnsi="楷体" w:eastAsia="楷体" w:cs="Times New Roman"/>
          <w:sz w:val="28"/>
          <w:szCs w:val="28"/>
        </w:rPr>
        <w:t>【</w:t>
      </w:r>
      <w:r>
        <w:rPr>
          <w:rFonts w:hint="eastAsia" w:ascii="华文中宋" w:hAnsi="华文中宋" w:eastAsia="华文中宋" w:cs="Times New Roman"/>
          <w:sz w:val="28"/>
          <w:szCs w:val="28"/>
        </w:rPr>
        <w:t>工作动态】</w:t>
      </w:r>
    </w:p>
    <w:p>
      <w:pPr>
        <w:pStyle w:val="9"/>
        <w:snapToGrid w:val="0"/>
        <w:spacing w:line="360" w:lineRule="auto"/>
        <w:ind w:left="880" w:firstLine="0" w:firstLineChars="0"/>
        <w:rPr>
          <w:rFonts w:ascii="楷体" w:hAnsi="楷体" w:eastAsia="楷体" w:cs="Times New Roman"/>
          <w:sz w:val="28"/>
          <w:szCs w:val="28"/>
        </w:rPr>
      </w:pPr>
      <w:r>
        <w:rPr>
          <w:rFonts w:ascii="楷体" w:hAnsi="楷体" w:eastAsia="楷体" w:cs="Times New Roman"/>
          <w:sz w:val="28"/>
          <w:szCs w:val="28"/>
        </w:rPr>
        <w:t>1</w:t>
      </w:r>
      <w:r>
        <w:rPr>
          <w:rFonts w:hint="eastAsia" w:ascii="楷体" w:hAnsi="楷体" w:eastAsia="楷体" w:cs="Times New Roman"/>
          <w:sz w:val="28"/>
          <w:szCs w:val="28"/>
        </w:rPr>
        <w:t>、秘书处7月份工作简要回顾</w:t>
      </w:r>
    </w:p>
    <w:p>
      <w:pPr>
        <w:pStyle w:val="9"/>
        <w:snapToGrid w:val="0"/>
        <w:spacing w:line="360" w:lineRule="auto"/>
        <w:ind w:left="880" w:firstLine="0" w:firstLineChars="0"/>
        <w:rPr>
          <w:rFonts w:ascii="楷体" w:hAnsi="楷体" w:eastAsia="楷体" w:cs="Times New Roman"/>
          <w:sz w:val="28"/>
          <w:szCs w:val="28"/>
        </w:rPr>
      </w:pPr>
      <w:r>
        <w:rPr>
          <w:rFonts w:ascii="楷体" w:hAnsi="楷体" w:eastAsia="楷体" w:cs="Times New Roman"/>
          <w:sz w:val="28"/>
          <w:szCs w:val="28"/>
        </w:rPr>
        <w:t>2</w:t>
      </w:r>
      <w:r>
        <w:rPr>
          <w:rFonts w:hint="eastAsia" w:ascii="楷体" w:hAnsi="楷体" w:eastAsia="楷体" w:cs="Times New Roman"/>
          <w:sz w:val="28"/>
          <w:szCs w:val="28"/>
        </w:rPr>
        <w:t>、</w:t>
      </w:r>
      <w:bookmarkStart w:id="2" w:name="_Hlk142487191"/>
      <w:r>
        <w:rPr>
          <w:rFonts w:hint="eastAsia" w:ascii="楷体" w:hAnsi="楷体" w:eastAsia="楷体" w:cs="宋体"/>
          <w:spacing w:val="8"/>
          <w:kern w:val="36"/>
          <w:sz w:val="28"/>
          <w:szCs w:val="28"/>
        </w:rPr>
        <w:t>宁波市社会组织等级评估进入初审阶段</w:t>
      </w:r>
    </w:p>
    <w:bookmarkEnd w:id="2"/>
    <w:p>
      <w:pPr>
        <w:pStyle w:val="9"/>
        <w:numPr>
          <w:ilvl w:val="0"/>
          <w:numId w:val="1"/>
        </w:numPr>
        <w:spacing w:line="360" w:lineRule="auto"/>
        <w:ind w:firstLineChars="0"/>
        <w:rPr>
          <w:rFonts w:ascii="华文中宋" w:hAnsi="华文中宋" w:eastAsia="华文中宋" w:cs="Times New Roman"/>
          <w:sz w:val="28"/>
          <w:szCs w:val="28"/>
        </w:rPr>
      </w:pPr>
      <w:r>
        <w:rPr>
          <w:rFonts w:hint="eastAsia" w:ascii="华文中宋" w:hAnsi="华文中宋" w:eastAsia="华文中宋" w:cs="Times New Roman"/>
          <w:sz w:val="28"/>
          <w:szCs w:val="28"/>
        </w:rPr>
        <w:t>【会员风采】</w:t>
      </w:r>
    </w:p>
    <w:p>
      <w:pPr>
        <w:pStyle w:val="9"/>
        <w:snapToGrid w:val="0"/>
        <w:spacing w:line="360" w:lineRule="auto"/>
        <w:ind w:left="880" w:firstLine="0" w:firstLineChars="0"/>
        <w:rPr>
          <w:rFonts w:ascii="楷体" w:hAnsi="楷体" w:eastAsia="楷体" w:cs="Times New Roman"/>
          <w:sz w:val="28"/>
          <w:szCs w:val="28"/>
        </w:rPr>
      </w:pPr>
      <w:r>
        <w:rPr>
          <w:rFonts w:ascii="楷体" w:hAnsi="楷体" w:eastAsia="楷体" w:cs="Times New Roman"/>
          <w:sz w:val="28"/>
          <w:szCs w:val="28"/>
        </w:rPr>
        <w:t>1</w:t>
      </w:r>
      <w:r>
        <w:rPr>
          <w:rFonts w:hint="eastAsia" w:ascii="楷体" w:hAnsi="楷体" w:eastAsia="楷体" w:cs="Times New Roman"/>
          <w:sz w:val="28"/>
          <w:szCs w:val="28"/>
        </w:rPr>
        <w:t>、锐远新材料科技有限公司参加上海国际涂料博览会</w:t>
      </w:r>
    </w:p>
    <w:p>
      <w:pPr>
        <w:pStyle w:val="9"/>
        <w:snapToGrid w:val="0"/>
        <w:spacing w:line="360" w:lineRule="auto"/>
        <w:ind w:left="880" w:firstLine="0" w:firstLineChars="0"/>
        <w:rPr>
          <w:rFonts w:ascii="楷体" w:hAnsi="楷体" w:eastAsia="楷体" w:cs="Times New Roman"/>
          <w:sz w:val="28"/>
          <w:szCs w:val="28"/>
        </w:rPr>
      </w:pPr>
      <w:r>
        <w:rPr>
          <w:rFonts w:hint="eastAsia" w:ascii="楷体" w:hAnsi="楷体" w:eastAsia="楷体" w:cs="Times New Roman"/>
          <w:sz w:val="28"/>
          <w:szCs w:val="28"/>
        </w:rPr>
        <w:t>2、镇海区纳税二十强出炉，我会新福、镇洋两家会员企业榜上有名</w:t>
      </w:r>
    </w:p>
    <w:p>
      <w:pPr>
        <w:pStyle w:val="9"/>
        <w:snapToGrid w:val="0"/>
        <w:spacing w:line="360" w:lineRule="auto"/>
        <w:ind w:left="880" w:firstLine="0" w:firstLineChars="0"/>
        <w:rPr>
          <w:rFonts w:ascii="楷体" w:hAnsi="楷体" w:eastAsia="楷体" w:cs="Times New Roman"/>
          <w:sz w:val="28"/>
          <w:szCs w:val="28"/>
        </w:rPr>
      </w:pPr>
      <w:r>
        <w:rPr>
          <w:rFonts w:hint="eastAsia" w:ascii="楷体" w:hAnsi="楷体" w:eastAsia="楷体" w:cs="Times New Roman"/>
          <w:sz w:val="28"/>
          <w:szCs w:val="28"/>
        </w:rPr>
        <w:t>3、美源新材料股份有限公司扩产项目进展顺利</w:t>
      </w:r>
    </w:p>
    <w:p>
      <w:pPr>
        <w:pStyle w:val="3"/>
        <w:pBdr>
          <w:bottom w:val="none" w:color="auto" w:sz="0" w:space="0"/>
        </w:pBdr>
        <w:jc w:val="both"/>
        <w:rPr>
          <w:sz w:val="32"/>
          <w:szCs w:val="32"/>
        </w:rPr>
      </w:pPr>
      <w:r>
        <w:rPr>
          <w:rFonts w:hint="eastAsia"/>
          <w:sz w:val="32"/>
          <w:szCs w:val="32"/>
        </w:rPr>
        <w:t>-------------------------------------------------------------------------------------</w:t>
      </w:r>
      <w:r>
        <w:rPr>
          <w:sz w:val="32"/>
          <w:szCs w:val="32"/>
        </w:rPr>
        <w:t xml:space="preserve"> </w:t>
      </w:r>
    </w:p>
    <w:p>
      <w:pPr>
        <w:pStyle w:val="3"/>
        <w:pBdr>
          <w:bottom w:val="none" w:color="auto" w:sz="0" w:space="0"/>
        </w:pBdr>
        <w:jc w:val="both"/>
        <w:rPr>
          <w:sz w:val="32"/>
          <w:szCs w:val="32"/>
        </w:rPr>
      </w:pPr>
      <w:r>
        <w:rPr>
          <w:rFonts w:hint="eastAsia"/>
        </w:rPr>
        <mc:AlternateContent>
          <mc:Choice Requires="wps">
            <w:drawing>
              <wp:anchor distT="0" distB="0" distL="114300" distR="114300" simplePos="0" relativeHeight="251659264" behindDoc="0" locked="0" layoutInCell="1" allowOverlap="1">
                <wp:simplePos x="0" y="0"/>
                <wp:positionH relativeFrom="margin">
                  <wp:posOffset>128270</wp:posOffset>
                </wp:positionH>
                <wp:positionV relativeFrom="paragraph">
                  <wp:posOffset>73660</wp:posOffset>
                </wp:positionV>
                <wp:extent cx="1066800" cy="533400"/>
                <wp:effectExtent l="57150" t="38100" r="76200" b="95250"/>
                <wp:wrapNone/>
                <wp:docPr id="1334899880" name="流程图: 可选过程 1"/>
                <wp:cNvGraphicFramePr/>
                <a:graphic xmlns:a="http://schemas.openxmlformats.org/drawingml/2006/main">
                  <a:graphicData uri="http://schemas.microsoft.com/office/word/2010/wordprocessingShape">
                    <wps:wsp>
                      <wps:cNvSpPr/>
                      <wps:spPr>
                        <a:xfrm>
                          <a:off x="0" y="0"/>
                          <a:ext cx="1066800" cy="533400"/>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pPr>
                              <w:jc w:val="center"/>
                              <w:rPr>
                                <w:rFonts w:ascii="华文新魏" w:eastAsia="华文新魏"/>
                                <w:sz w:val="30"/>
                                <w:szCs w:val="30"/>
                              </w:rPr>
                            </w:pPr>
                            <w:r>
                              <w:rPr>
                                <w:rFonts w:hint="eastAsia" w:ascii="华文新魏" w:eastAsia="华文新魏"/>
                                <w:sz w:val="30"/>
                                <w:szCs w:val="30"/>
                              </w:rPr>
                              <w:t>政策速递</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流程图: 可选过程 1" o:spid="_x0000_s1026" o:spt="176" type="#_x0000_t176" style="position:absolute;left:0pt;margin-left:10.1pt;margin-top:5.8pt;height:42pt;width:84pt;mso-position-horizontal-relative:margin;z-index:251659264;v-text-anchor:middle;mso-width-relative:page;mso-height-relative:page;" fillcolor="#BCBCBC [3216]" filled="t" stroked="t" coordsize="21600,21600" o:gfxdata="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jc w:val="center"/>
                        <w:rPr>
                          <w:rFonts w:ascii="华文新魏" w:eastAsia="华文新魏"/>
                          <w:sz w:val="30"/>
                          <w:szCs w:val="30"/>
                        </w:rPr>
                      </w:pPr>
                      <w:r>
                        <w:rPr>
                          <w:rFonts w:hint="eastAsia" w:ascii="华文新魏" w:eastAsia="华文新魏"/>
                          <w:sz w:val="30"/>
                          <w:szCs w:val="30"/>
                        </w:rPr>
                        <w:t>政策速递</w:t>
                      </w:r>
                    </w:p>
                  </w:txbxContent>
                </v:textbox>
              </v:shape>
            </w:pict>
          </mc:Fallback>
        </mc:AlternateContent>
      </w:r>
      <w:r>
        <w:rPr>
          <w:rFonts w:hint="eastAsia"/>
          <w:sz w:val="32"/>
          <w:szCs w:val="32"/>
        </w:rPr>
        <w:t xml:space="preserve"> </w:t>
      </w:r>
      <w:r>
        <w:rPr>
          <w:sz w:val="32"/>
          <w:szCs w:val="32"/>
        </w:rPr>
        <w:t xml:space="preserve">            </w:t>
      </w:r>
    </w:p>
    <w:p>
      <w:pPr>
        <w:pStyle w:val="3"/>
        <w:pBdr>
          <w:bottom w:val="none" w:color="auto" w:sz="0" w:space="0"/>
        </w:pBdr>
        <w:ind w:firstLine="2409" w:firstLineChars="1000"/>
        <w:jc w:val="both"/>
        <w:rPr>
          <w:rFonts w:ascii="宋体" w:hAnsi="宋体"/>
          <w:b/>
          <w:bCs/>
          <w:sz w:val="24"/>
          <w:szCs w:val="24"/>
        </w:rPr>
      </w:pPr>
      <w:bookmarkStart w:id="3" w:name="_Hlk142467411"/>
      <w:r>
        <w:rPr>
          <w:rFonts w:ascii="宋体" w:hAnsi="宋体"/>
          <w:b/>
          <w:bCs/>
          <w:sz w:val="24"/>
          <w:szCs w:val="24"/>
        </w:rPr>
        <w:t>《产业结构调整指导目录(2023</w:t>
      </w:r>
      <w:r>
        <w:rPr>
          <w:rFonts w:hint="eastAsia" w:ascii="宋体" w:hAnsi="宋体"/>
          <w:b/>
          <w:bCs/>
          <w:sz w:val="24"/>
          <w:szCs w:val="24"/>
        </w:rPr>
        <w:t>本)</w:t>
      </w:r>
      <w:r>
        <w:rPr>
          <w:rFonts w:ascii="宋体" w:hAnsi="宋体"/>
          <w:b/>
          <w:bCs/>
          <w:sz w:val="24"/>
          <w:szCs w:val="24"/>
        </w:rPr>
        <w:t>征求意见</w:t>
      </w:r>
      <w:r>
        <w:rPr>
          <w:rFonts w:hint="eastAsia" w:ascii="宋体" w:hAnsi="宋体"/>
          <w:b/>
          <w:bCs/>
          <w:sz w:val="24"/>
          <w:szCs w:val="24"/>
        </w:rPr>
        <w:t>稿</w:t>
      </w:r>
      <w:r>
        <w:rPr>
          <w:rFonts w:ascii="宋体" w:hAnsi="宋体"/>
          <w:b/>
          <w:bCs/>
          <w:sz w:val="24"/>
          <w:szCs w:val="24"/>
        </w:rPr>
        <w:t>》</w:t>
      </w:r>
      <w:r>
        <w:rPr>
          <w:rFonts w:hint="eastAsia" w:ascii="宋体" w:hAnsi="宋体"/>
          <w:b/>
          <w:bCs/>
          <w:sz w:val="24"/>
          <w:szCs w:val="24"/>
        </w:rPr>
        <w:t>内容框架</w:t>
      </w:r>
    </w:p>
    <w:p>
      <w:pPr>
        <w:pStyle w:val="3"/>
        <w:pBdr>
          <w:bottom w:val="none" w:color="auto" w:sz="0" w:space="0"/>
        </w:pBdr>
        <w:jc w:val="both"/>
        <w:rPr>
          <w:rFonts w:ascii="宋体" w:hAnsi="宋体"/>
          <w:b/>
          <w:bCs/>
          <w:sz w:val="24"/>
          <w:szCs w:val="24"/>
        </w:rPr>
      </w:pPr>
    </w:p>
    <w:bookmarkEnd w:id="3"/>
    <w:p>
      <w:pPr>
        <w:pStyle w:val="3"/>
        <w:pBdr>
          <w:bottom w:val="none" w:color="auto" w:sz="0" w:space="0"/>
        </w:pBdr>
        <w:ind w:firstLine="2100" w:firstLineChars="1000"/>
        <w:jc w:val="both"/>
        <w:rPr>
          <w:rFonts w:cs="宋体" w:asciiTheme="minorEastAsia" w:hAnsiTheme="minorEastAsia" w:eastAsiaTheme="minorEastAsia"/>
          <w:color w:val="777777"/>
          <w:kern w:val="0"/>
          <w:sz w:val="21"/>
          <w:szCs w:val="21"/>
        </w:rPr>
      </w:pPr>
      <w:r>
        <w:rPr>
          <w:rFonts w:hint="eastAsia" w:asciiTheme="minorEastAsia" w:hAnsiTheme="minorEastAsia" w:eastAsiaTheme="minorEastAsia"/>
          <w:sz w:val="21"/>
          <w:szCs w:val="21"/>
        </w:rPr>
        <w:t>近日，</w:t>
      </w:r>
      <w:r>
        <w:rPr>
          <w:rFonts w:asciiTheme="minorEastAsia" w:hAnsiTheme="minorEastAsia" w:eastAsiaTheme="minorEastAsia"/>
          <w:sz w:val="21"/>
          <w:szCs w:val="21"/>
        </w:rPr>
        <w:t>国家发改委公布《产业结构调整指导目录(2023</w:t>
      </w:r>
      <w:r>
        <w:rPr>
          <w:rFonts w:hint="eastAsia" w:asciiTheme="minorEastAsia" w:hAnsiTheme="minorEastAsia" w:eastAsiaTheme="minorEastAsia"/>
          <w:sz w:val="21"/>
          <w:szCs w:val="21"/>
        </w:rPr>
        <w:t>本)</w:t>
      </w:r>
      <w:r>
        <w:rPr>
          <w:rFonts w:asciiTheme="minorEastAsia" w:hAnsiTheme="minorEastAsia" w:eastAsiaTheme="minorEastAsia"/>
          <w:sz w:val="21"/>
          <w:szCs w:val="21"/>
        </w:rPr>
        <w:t>征求意见</w:t>
      </w:r>
      <w:r>
        <w:rPr>
          <w:rFonts w:hint="eastAsia" w:asciiTheme="minorEastAsia" w:hAnsiTheme="minorEastAsia" w:eastAsiaTheme="minorEastAsia"/>
          <w:sz w:val="21"/>
          <w:szCs w:val="21"/>
        </w:rPr>
        <w:t>稿</w:t>
      </w:r>
      <w:r>
        <w:rPr>
          <w:rFonts w:asciiTheme="minorEastAsia" w:hAnsiTheme="minorEastAsia" w:eastAsiaTheme="minorEastAsia"/>
          <w:sz w:val="21"/>
          <w:szCs w:val="21"/>
        </w:rPr>
        <w:t>》</w:t>
      </w:r>
      <w:r>
        <w:rPr>
          <w:rFonts w:hint="eastAsia" w:cs="宋体" w:asciiTheme="minorEastAsia" w:hAnsiTheme="minorEastAsia" w:eastAsiaTheme="minorEastAsia"/>
          <w:color w:val="777777"/>
          <w:kern w:val="0"/>
          <w:sz w:val="21"/>
          <w:szCs w:val="21"/>
        </w:rPr>
        <w:t>，</w:t>
      </w:r>
    </w:p>
    <w:p>
      <w:pPr>
        <w:widowControl/>
        <w:spacing w:line="390" w:lineRule="atLeast"/>
        <w:ind w:firstLine="226" w:firstLineChars="100"/>
        <w:jc w:val="left"/>
        <w:rPr>
          <w:rFonts w:ascii="华文中宋" w:hAnsi="华文中宋" w:eastAsia="华文中宋" w:cs="宋体"/>
          <w:color w:val="777777"/>
          <w:kern w:val="0"/>
        </w:rPr>
      </w:pPr>
      <w:r>
        <w:rPr>
          <w:rFonts w:hint="eastAsia" w:cs="宋体" w:asciiTheme="minorEastAsia" w:hAnsiTheme="minorEastAsia" w:eastAsiaTheme="minorEastAsia"/>
          <w:spacing w:val="8"/>
          <w:kern w:val="0"/>
        </w:rPr>
        <w:t>该目录</w:t>
      </w:r>
      <w:r>
        <w:rPr>
          <w:rFonts w:cs="宋体" w:asciiTheme="minorEastAsia" w:hAnsiTheme="minorEastAsia" w:eastAsiaTheme="minorEastAsia"/>
          <w:spacing w:val="8"/>
          <w:kern w:val="0"/>
        </w:rPr>
        <w:t>共1002 条，其中鼓励类348 条、限制类231 条、淘汰类423 条。</w:t>
      </w:r>
    </w:p>
    <w:p>
      <w:pPr>
        <w:widowControl/>
        <w:spacing w:line="390" w:lineRule="atLeast"/>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　　在石化化工产业鼓励类条目中，新版按照矿产资源开发、无机盐、农药、涂料、树脂、橡胶、新材料、硅材料、氟材料、轮胎、生物材料、低碳环保技术等12个方面进行了整合，更具体系化和实用性。石油天然气鼓励类整合为3大类，相比于目录(2019本)，新版本增添了天然气与新能源融合发展项目及技术开发与应用，波化天然气装置不凝气提取高纯氦气技术、成套设备开发及应用的内容。</w:t>
      </w:r>
    </w:p>
    <w:p>
      <w:pPr>
        <w:widowControl/>
        <w:spacing w:line="390" w:lineRule="atLeast"/>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　　石化化工行业限制类有13大类，意见稿内容对目录(2019年本)</w:t>
      </w:r>
      <w:r>
        <w:rPr>
          <w:rFonts w:hint="eastAsia" w:cs="宋体" w:asciiTheme="minorEastAsia" w:hAnsiTheme="minorEastAsia" w:eastAsiaTheme="minorEastAsia"/>
          <w:spacing w:val="8"/>
          <w:kern w:val="0"/>
        </w:rPr>
        <w:t>的</w:t>
      </w:r>
      <w:r>
        <w:rPr>
          <w:rFonts w:cs="宋体" w:asciiTheme="minorEastAsia" w:hAnsiTheme="minorEastAsia" w:eastAsiaTheme="minorEastAsia"/>
          <w:spacing w:val="8"/>
          <w:kern w:val="0"/>
        </w:rPr>
        <w:t>内容做出部分调整。调整内容包括：普通合成胶乳-羧基丁苯胶(含丁苯胶乳)生产装置由3万吨/年以下调整至10万吨/年以下；氧化铁系颜料1万吨/年以下调整至3万吨/年以下；钢丝帘线由3万吨/年以下调整至5万吨/年以下等。</w:t>
      </w:r>
    </w:p>
    <w:p>
      <w:pPr>
        <w:widowControl/>
        <w:spacing w:line="390" w:lineRule="atLeast"/>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　</w:t>
      </w:r>
      <w:r>
        <w:rPr>
          <w:rFonts w:hint="eastAsia" w:cs="宋体" w:asciiTheme="minorEastAsia" w:hAnsiTheme="minorEastAsia" w:eastAsiaTheme="minorEastAsia"/>
          <w:spacing w:val="8"/>
          <w:kern w:val="0"/>
        </w:rPr>
        <w:t xml:space="preserve"> </w:t>
      </w:r>
      <w:r>
        <w:rPr>
          <w:rFonts w:cs="宋体" w:asciiTheme="minorEastAsia" w:hAnsiTheme="minorEastAsia" w:eastAsiaTheme="minorEastAsia"/>
          <w:spacing w:val="8"/>
          <w:kern w:val="0"/>
        </w:rPr>
        <w:t xml:space="preserve"> 新增内容包括：甲草胺、2,4-滴、啶虫脒、噻虫嗪、莠去津、丁草胺、二甲四氯、莠灭净、麦草畏、敌草快、草铵膦、烯草酮、代森锰锌、敌百虫、三唑醇、丙环唑、异菌脲、多效唑、石硫合剂生产装置；VOCs含量超75%的硝基纤维素涂料生产装置；用作制冷剂、发泡剂等受控用途的二氟甲烷(HFC-32)、1,1,1,2-四氟乙烷(HFC-134a)、五氟乙烷(HFC-125)、1,1,1-三氟乙烷(HFC-143a)、1,1,1,3,3-五氟丙烷(HFC-245fa)生产装置(不含副产设施)。</w:t>
      </w:r>
    </w:p>
    <w:p>
      <w:pPr>
        <w:widowControl/>
        <w:spacing w:line="360" w:lineRule="auto"/>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　　石化化工行业淘汰类落后生产工艺装备有10大类，各类别内容与目录(2019年本)内容基本一致，并对部分细节进行了进一步完善。</w:t>
      </w:r>
    </w:p>
    <w:p>
      <w:pPr>
        <w:pStyle w:val="3"/>
        <w:pBdr>
          <w:bottom w:val="none" w:color="auto" w:sz="0" w:space="0"/>
        </w:pBdr>
        <w:spacing w:line="360" w:lineRule="auto"/>
        <w:jc w:val="both"/>
        <w:rPr>
          <w:rFonts w:cs="宋体" w:asciiTheme="minorEastAsia" w:hAnsiTheme="minorEastAsia" w:eastAsiaTheme="minorEastAsia"/>
          <w:spacing w:val="8"/>
          <w:kern w:val="0"/>
          <w:sz w:val="21"/>
          <w:szCs w:val="21"/>
        </w:rPr>
      </w:pPr>
      <w:r>
        <w:rPr>
          <w:rFonts w:cs="宋体" w:asciiTheme="minorEastAsia" w:hAnsiTheme="minorEastAsia" w:eastAsiaTheme="minorEastAsia"/>
          <w:spacing w:val="8"/>
          <w:kern w:val="0"/>
          <w:sz w:val="21"/>
          <w:szCs w:val="21"/>
        </w:rPr>
        <w:t>　　新增包括：10万吨/年以下磷铵(工业级除外)(2025年12月31日)；高温煤气洗涤水在开式冷却塔中与空气直接接触冷却工艺技术等</w:t>
      </w:r>
    </w:p>
    <w:p>
      <w:pPr>
        <w:pStyle w:val="3"/>
        <w:pBdr>
          <w:bottom w:val="none" w:color="auto" w:sz="0" w:space="0"/>
        </w:pBdr>
        <w:spacing w:line="360" w:lineRule="auto"/>
        <w:jc w:val="both"/>
        <w:rPr>
          <w:rFonts w:ascii="华文中宋" w:hAnsi="华文中宋" w:eastAsia="华文中宋"/>
          <w:sz w:val="21"/>
          <w:szCs w:val="21"/>
        </w:rPr>
      </w:pPr>
    </w:p>
    <w:p>
      <w:pPr>
        <w:pStyle w:val="3"/>
        <w:pBdr>
          <w:bottom w:val="none" w:color="auto" w:sz="0" w:space="0"/>
        </w:pBdr>
        <w:jc w:val="both"/>
        <w:rPr>
          <w:rFonts w:asciiTheme="majorEastAsia" w:hAnsiTheme="majorEastAsia" w:eastAsiaTheme="majorEastAsia"/>
          <w:b/>
          <w:bCs/>
          <w:sz w:val="24"/>
          <w:szCs w:val="24"/>
        </w:rPr>
      </w:pPr>
      <w:r>
        <w:rPr>
          <w:rFonts w:hint="eastAsia" w:ascii="华文中宋" w:hAnsi="华文中宋" w:eastAsia="华文中宋"/>
          <w:sz w:val="21"/>
          <w:szCs w:val="21"/>
        </w:rPr>
        <w:t xml:space="preserve"> </w:t>
      </w:r>
      <w:r>
        <w:rPr>
          <w:rFonts w:ascii="华文中宋" w:hAnsi="华文中宋" w:eastAsia="华文中宋"/>
          <w:sz w:val="21"/>
          <w:szCs w:val="21"/>
        </w:rPr>
        <w:t xml:space="preserve">                      </w:t>
      </w:r>
      <w:r>
        <w:rPr>
          <w:rFonts w:hint="eastAsia" w:asciiTheme="majorEastAsia" w:hAnsiTheme="majorEastAsia" w:eastAsiaTheme="majorEastAsia"/>
          <w:b/>
          <w:bCs/>
          <w:sz w:val="24"/>
          <w:szCs w:val="24"/>
        </w:rPr>
        <w:t>“民营经济3</w:t>
      </w:r>
      <w:r>
        <w:rPr>
          <w:rFonts w:asciiTheme="majorEastAsia" w:hAnsiTheme="majorEastAsia" w:eastAsiaTheme="majorEastAsia"/>
          <w:b/>
          <w:bCs/>
          <w:sz w:val="24"/>
          <w:szCs w:val="24"/>
        </w:rPr>
        <w:t>1</w:t>
      </w:r>
      <w:r>
        <w:rPr>
          <w:rFonts w:hint="eastAsia" w:asciiTheme="majorEastAsia" w:hAnsiTheme="majorEastAsia" w:eastAsiaTheme="majorEastAsia"/>
          <w:b/>
          <w:bCs/>
          <w:sz w:val="24"/>
          <w:szCs w:val="24"/>
        </w:rPr>
        <w:t>”条新提法受到关注</w:t>
      </w:r>
    </w:p>
    <w:p>
      <w:pPr>
        <w:pStyle w:val="3"/>
        <w:pBdr>
          <w:bottom w:val="none" w:color="auto" w:sz="0" w:space="0"/>
        </w:pBdr>
        <w:jc w:val="both"/>
        <w:rPr>
          <w:rFonts w:asciiTheme="majorEastAsia" w:hAnsiTheme="majorEastAsia" w:eastAsiaTheme="majorEastAsia"/>
          <w:sz w:val="21"/>
          <w:szCs w:val="21"/>
        </w:rPr>
      </w:pPr>
    </w:p>
    <w:p>
      <w:pPr>
        <w:widowControl/>
        <w:spacing w:line="390" w:lineRule="atLeast"/>
        <w:jc w:val="left"/>
        <w:rPr>
          <w:rFonts w:cs="宋体" w:asciiTheme="minorEastAsia" w:hAnsiTheme="minorEastAsia" w:eastAsiaTheme="minorEastAsia"/>
          <w:spacing w:val="8"/>
          <w:kern w:val="0"/>
        </w:rPr>
      </w:pPr>
      <w:r>
        <w:rPr>
          <w:rFonts w:hint="eastAsia"/>
        </w:rPr>
        <w:t xml:space="preserve"> </w:t>
      </w:r>
      <w:r>
        <w:t xml:space="preserve">  </w:t>
      </w:r>
      <w:r>
        <w:rPr>
          <w:rFonts w:cs="宋体" w:asciiTheme="minorEastAsia" w:hAnsiTheme="minorEastAsia" w:eastAsiaTheme="minorEastAsia"/>
          <w:spacing w:val="8"/>
          <w:kern w:val="0"/>
        </w:rPr>
        <w:t xml:space="preserve">  近日，中共中央、国务院印发《关于促进民营经济发展壮大的意见》，从民营经济的发展环境、政策支持、法治保障以及促进民营经济人士健康成长等方面，提出31条具体举措。</w:t>
      </w:r>
      <w:r>
        <w:rPr>
          <w:rFonts w:hint="eastAsia" w:cs="宋体" w:asciiTheme="minorEastAsia" w:hAnsiTheme="minorEastAsia" w:eastAsiaTheme="minorEastAsia"/>
          <w:spacing w:val="8"/>
          <w:kern w:val="0"/>
        </w:rPr>
        <w:t>其中，对于民营经济是</w:t>
      </w:r>
      <w:r>
        <w:rPr>
          <w:rFonts w:cs="宋体" w:asciiTheme="minorEastAsia" w:hAnsiTheme="minorEastAsia" w:eastAsiaTheme="minorEastAsia"/>
          <w:spacing w:val="8"/>
          <w:kern w:val="0"/>
        </w:rPr>
        <w:t xml:space="preserve"> “推进中国式现代化的生力军”</w:t>
      </w:r>
      <w:r>
        <w:rPr>
          <w:rFonts w:hint="eastAsia" w:cs="宋体" w:asciiTheme="minorEastAsia" w:hAnsiTheme="minorEastAsia" w:eastAsiaTheme="minorEastAsia"/>
          <w:spacing w:val="8"/>
          <w:kern w:val="0"/>
        </w:rPr>
        <w:t>这一最新表述受到各方关注。</w:t>
      </w:r>
    </w:p>
    <w:p>
      <w:pPr>
        <w:widowControl/>
        <w:spacing w:line="390" w:lineRule="atLeast"/>
        <w:ind w:firstLine="452" w:firstLineChars="200"/>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我们常用“56789”来概括民营经济在经济社会发展中的重要作用。其实，这一特征也深刻反映了促进民营经济发展壮大对</w:t>
      </w:r>
      <w:r>
        <w:rPr>
          <w:rFonts w:hint="eastAsia" w:cs="宋体" w:asciiTheme="minorEastAsia" w:hAnsiTheme="minorEastAsia" w:eastAsiaTheme="minorEastAsia"/>
          <w:spacing w:val="8"/>
          <w:kern w:val="0"/>
        </w:rPr>
        <w:t>于</w:t>
      </w:r>
      <w:r>
        <w:rPr>
          <w:rFonts w:cs="宋体" w:asciiTheme="minorEastAsia" w:hAnsiTheme="minorEastAsia" w:eastAsiaTheme="minorEastAsia"/>
          <w:spacing w:val="8"/>
          <w:kern w:val="0"/>
        </w:rPr>
        <w:t>推进中国式现代化</w:t>
      </w:r>
      <w:r>
        <w:rPr>
          <w:rFonts w:hint="eastAsia" w:cs="宋体" w:asciiTheme="minorEastAsia" w:hAnsiTheme="minorEastAsia" w:eastAsiaTheme="minorEastAsia"/>
          <w:spacing w:val="8"/>
          <w:kern w:val="0"/>
        </w:rPr>
        <w:t>所具有的</w:t>
      </w:r>
      <w:r>
        <w:rPr>
          <w:rFonts w:cs="宋体" w:asciiTheme="minorEastAsia" w:hAnsiTheme="minorEastAsia" w:eastAsiaTheme="minorEastAsia"/>
          <w:spacing w:val="8"/>
          <w:kern w:val="0"/>
        </w:rPr>
        <w:t>重要意义。</w:t>
      </w:r>
    </w:p>
    <w:p>
      <w:pPr>
        <w:widowControl/>
        <w:spacing w:line="390" w:lineRule="atLeast"/>
        <w:ind w:firstLine="452" w:firstLineChars="200"/>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所谓“56789”，即民营经济贡献了50%以上的税收、60%以上的国内生产总值、70%以上的技术创新成果、80%以上的城镇劳动就业和90%以上的企业数量。</w:t>
      </w:r>
    </w:p>
    <w:p>
      <w:pPr>
        <w:widowControl/>
        <w:spacing w:line="390" w:lineRule="atLeast"/>
        <w:ind w:firstLine="452" w:firstLineChars="200"/>
        <w:jc w:val="left"/>
        <w:rPr>
          <w:rFonts w:cs="宋体" w:asciiTheme="minorEastAsia" w:hAnsiTheme="minorEastAsia" w:eastAsiaTheme="minorEastAsia"/>
          <w:spacing w:val="8"/>
          <w:kern w:val="0"/>
        </w:rPr>
      </w:pPr>
      <w:r>
        <w:rPr>
          <w:rFonts w:hint="eastAsia" w:cs="宋体" w:asciiTheme="minorEastAsia" w:hAnsiTheme="minorEastAsia" w:eastAsiaTheme="minorEastAsia"/>
          <w:spacing w:val="8"/>
          <w:kern w:val="0"/>
        </w:rPr>
        <w:t>此外，</w:t>
      </w:r>
      <w:r>
        <w:rPr>
          <w:rFonts w:cs="宋体" w:asciiTheme="minorEastAsia" w:hAnsiTheme="minorEastAsia" w:eastAsiaTheme="minorEastAsia"/>
          <w:spacing w:val="8"/>
          <w:kern w:val="0"/>
        </w:rPr>
        <w:t>根据国家发改委提供的最新数据，在税收上，2012年至2021年，民企占比从48%提升至59.6%。在外贸上，民企从2019年起成为第一大外贸主体，2022年占比达50.9%。</w:t>
      </w:r>
    </w:p>
    <w:p>
      <w:pPr>
        <w:widowControl/>
        <w:spacing w:line="360" w:lineRule="auto"/>
        <w:ind w:firstLine="452" w:firstLineChars="200"/>
        <w:jc w:val="left"/>
        <w:rPr>
          <w:rFonts w:cs="宋体" w:asciiTheme="minorEastAsia" w:hAnsiTheme="minorEastAsia" w:eastAsiaTheme="minorEastAsia"/>
          <w:spacing w:val="8"/>
          <w:kern w:val="0"/>
        </w:rPr>
      </w:pPr>
      <w:r>
        <w:rPr>
          <w:rFonts w:cs="宋体" w:asciiTheme="minorEastAsia" w:hAnsiTheme="minorEastAsia" w:eastAsiaTheme="minorEastAsia"/>
          <w:spacing w:val="8"/>
          <w:kern w:val="0"/>
        </w:rPr>
        <w:t>国家发</w:t>
      </w:r>
      <w:r>
        <w:rPr>
          <w:rFonts w:hint="eastAsia" w:cs="宋体" w:asciiTheme="minorEastAsia" w:hAnsiTheme="minorEastAsia" w:eastAsiaTheme="minorEastAsia"/>
          <w:spacing w:val="8"/>
          <w:kern w:val="0"/>
        </w:rPr>
        <w:t>改委</w:t>
      </w:r>
      <w:r>
        <w:rPr>
          <w:rFonts w:cs="宋体" w:asciiTheme="minorEastAsia" w:hAnsiTheme="minorEastAsia" w:eastAsiaTheme="minorEastAsia"/>
          <w:spacing w:val="8"/>
          <w:kern w:val="0"/>
        </w:rPr>
        <w:t>副主任李春</w:t>
      </w:r>
      <w:r>
        <w:rPr>
          <w:rFonts w:hint="eastAsia" w:cs="宋体" w:asciiTheme="minorEastAsia" w:hAnsiTheme="minorEastAsia" w:eastAsiaTheme="minorEastAsia"/>
          <w:spacing w:val="8"/>
          <w:kern w:val="0"/>
        </w:rPr>
        <w:t>临</w:t>
      </w:r>
      <w:r>
        <w:rPr>
          <w:rFonts w:cs="宋体" w:asciiTheme="minorEastAsia" w:hAnsiTheme="minorEastAsia" w:eastAsiaTheme="minorEastAsia"/>
          <w:spacing w:val="8"/>
          <w:kern w:val="0"/>
        </w:rPr>
        <w:t>表示</w:t>
      </w:r>
      <w:r>
        <w:rPr>
          <w:rFonts w:hint="eastAsia" w:cs="宋体" w:asciiTheme="minorEastAsia" w:hAnsiTheme="minorEastAsia" w:eastAsiaTheme="minorEastAsia"/>
          <w:spacing w:val="8"/>
          <w:kern w:val="0"/>
        </w:rPr>
        <w:t>：</w:t>
      </w:r>
      <w:r>
        <w:rPr>
          <w:rFonts w:cs="宋体" w:asciiTheme="minorEastAsia" w:hAnsiTheme="minorEastAsia" w:eastAsiaTheme="minorEastAsia"/>
          <w:spacing w:val="8"/>
          <w:kern w:val="0"/>
        </w:rPr>
        <w:t>“一段时间以来，民营经济发展环境发生了一些变化，不少民营企业遇到了一些困难和问题，民营经济发展信心受到了一定的影响，我们迫切需要完善一批基础制度、出台一批管用举措、推广一批经验做法、更好提振信心，促进民营经济高质量发展</w:t>
      </w:r>
      <w:r>
        <w:rPr>
          <w:rFonts w:hint="eastAsia" w:cs="宋体" w:asciiTheme="minorEastAsia" w:hAnsiTheme="minorEastAsia" w:eastAsiaTheme="minorEastAsia"/>
          <w:spacing w:val="8"/>
          <w:kern w:val="0"/>
        </w:rPr>
        <w:t>。”</w:t>
      </w:r>
    </w:p>
    <w:p>
      <w:pPr>
        <w:widowControl/>
        <w:shd w:val="clear" w:color="auto" w:fill="FFFFFF"/>
        <w:spacing w:line="360" w:lineRule="auto"/>
        <w:ind w:firstLine="452" w:firstLineChars="200"/>
        <w:rPr>
          <w:rFonts w:cs="宋体" w:asciiTheme="minorEastAsia" w:hAnsiTheme="minorEastAsia" w:eastAsiaTheme="minorEastAsia"/>
          <w:spacing w:val="8"/>
          <w:kern w:val="0"/>
        </w:rPr>
      </w:pPr>
      <w:r>
        <w:rPr>
          <w:rFonts w:cs="宋体" w:asciiTheme="minorEastAsia" w:hAnsiTheme="minorEastAsia" w:eastAsiaTheme="minorEastAsia"/>
          <w:spacing w:val="8"/>
          <w:kern w:val="0"/>
        </w:rPr>
        <w:t>接下来，国家发改委将会同有关方面于近期推出相关配套政策举措。一是推出促进民营经济发展若干举措。二是制定印发促进民间投资的政策文件，聚焦重点领域，健全要素保障机制，充分调动民间投资的积极性。</w:t>
      </w:r>
      <w:r>
        <w:rPr>
          <w:rFonts w:hint="eastAsia" w:cs="宋体" w:asciiTheme="minorEastAsia" w:hAnsiTheme="minorEastAsia" w:eastAsiaTheme="minorEastAsia"/>
          <w:spacing w:val="8"/>
          <w:kern w:val="0"/>
        </w:rPr>
        <w:t>以此</w:t>
      </w:r>
      <w:r>
        <w:rPr>
          <w:rFonts w:cs="宋体" w:asciiTheme="minorEastAsia" w:hAnsiTheme="minorEastAsia" w:eastAsiaTheme="minorEastAsia"/>
          <w:spacing w:val="8"/>
          <w:kern w:val="0"/>
        </w:rPr>
        <w:t>作为《意见》的“1+N”配套措施，切实推动《意见》落地见效，促进民营经济高质量发展。</w:t>
      </w:r>
    </w:p>
    <w:p>
      <w:pPr>
        <w:widowControl/>
        <w:shd w:val="clear" w:color="auto" w:fill="FFFFFF"/>
        <w:spacing w:line="360" w:lineRule="auto"/>
        <w:ind w:firstLine="452" w:firstLineChars="200"/>
        <w:rPr>
          <w:rFonts w:cs="宋体" w:asciiTheme="minorEastAsia" w:hAnsiTheme="minorEastAsia" w:eastAsiaTheme="minorEastAsia"/>
          <w:spacing w:val="8"/>
          <w:kern w:val="0"/>
        </w:rPr>
      </w:pPr>
    </w:p>
    <w:p>
      <w:pPr>
        <w:pStyle w:val="3"/>
        <w:pBdr>
          <w:bottom w:val="none" w:color="auto" w:sz="0" w:space="0"/>
        </w:pBdr>
        <w:ind w:firstLine="3000" w:firstLineChars="1000"/>
        <w:jc w:val="both"/>
        <w:rPr>
          <w:rFonts w:ascii="华文新魏" w:eastAsia="华文新魏"/>
          <w:sz w:val="30"/>
          <w:szCs w:val="30"/>
        </w:rPr>
      </w:pPr>
      <w:r>
        <w:rPr>
          <w:rFonts w:hint="eastAsia" w:ascii="华文新魏" w:eastAsia="华文新魏"/>
          <w:sz w:val="30"/>
          <w:szCs w:val="30"/>
        </w:rPr>
        <mc:AlternateContent>
          <mc:Choice Requires="wps">
            <w:drawing>
              <wp:anchor distT="0" distB="0" distL="114300" distR="114300" simplePos="0" relativeHeight="251660288" behindDoc="0" locked="0" layoutInCell="1" allowOverlap="1">
                <wp:simplePos x="0" y="0"/>
                <wp:positionH relativeFrom="margin">
                  <wp:posOffset>-28575</wp:posOffset>
                </wp:positionH>
                <wp:positionV relativeFrom="paragraph">
                  <wp:posOffset>160655</wp:posOffset>
                </wp:positionV>
                <wp:extent cx="1038225" cy="552450"/>
                <wp:effectExtent l="57150" t="38100" r="85725" b="95250"/>
                <wp:wrapNone/>
                <wp:docPr id="1671570887" name="矩形: 圆角 2"/>
                <wp:cNvGraphicFramePr/>
                <a:graphic xmlns:a="http://schemas.openxmlformats.org/drawingml/2006/main">
                  <a:graphicData uri="http://schemas.microsoft.com/office/word/2010/wordprocessingShape">
                    <wps:wsp>
                      <wps:cNvSpPr/>
                      <wps:spPr>
                        <a:xfrm flipH="1">
                          <a:off x="0" y="0"/>
                          <a:ext cx="1038225" cy="552450"/>
                        </a:xfrm>
                        <a:prstGeom prst="roundRect">
                          <a:avLst/>
                        </a:prstGeom>
                      </wps:spPr>
                      <wps:style>
                        <a:lnRef idx="1">
                          <a:schemeClr val="dk1"/>
                        </a:lnRef>
                        <a:fillRef idx="2">
                          <a:schemeClr val="dk1"/>
                        </a:fillRef>
                        <a:effectRef idx="1">
                          <a:schemeClr val="dk1"/>
                        </a:effectRef>
                        <a:fontRef idx="minor">
                          <a:schemeClr val="dk1"/>
                        </a:fontRef>
                      </wps:style>
                      <wps:txbx>
                        <w:txbxContent>
                          <w:p>
                            <w:pPr>
                              <w:rPr>
                                <w:rFonts w:ascii="华文新魏" w:hAnsi="华文中宋" w:eastAsia="华文新魏"/>
                                <w:sz w:val="30"/>
                                <w:szCs w:val="30"/>
                              </w:rPr>
                            </w:pPr>
                            <w:r>
                              <w:rPr>
                                <w:rFonts w:hint="eastAsia" w:ascii="华文新魏" w:hAnsi="华文中宋" w:eastAsia="华文新魏"/>
                                <w:sz w:val="30"/>
                                <w:szCs w:val="30"/>
                              </w:rPr>
                              <w:t>工作动态</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2" o:spid="_x0000_s1026" o:spt="2" style="position:absolute;left:0pt;flip:x;margin-left:-2.25pt;margin-top:12.65pt;height:43.5pt;width:81.75pt;mso-position-horizontal-relative:margin;z-index:251660288;v-text-anchor:middle;mso-width-relative:page;mso-height-relative:page;" fillcolor="#BCBCBC [3216]" filled="t" stroked="t" coordsize="21600,21600" arcsize="0.166666666666667" o:gfxdata="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rPr>
                          <w:rFonts w:ascii="华文新魏" w:hAnsi="华文中宋" w:eastAsia="华文新魏"/>
                          <w:sz w:val="30"/>
                          <w:szCs w:val="30"/>
                        </w:rPr>
                      </w:pPr>
                      <w:r>
                        <w:rPr>
                          <w:rFonts w:hint="eastAsia" w:ascii="华文新魏" w:hAnsi="华文中宋" w:eastAsia="华文新魏"/>
                          <w:sz w:val="30"/>
                          <w:szCs w:val="30"/>
                        </w:rPr>
                        <w:t>工作动态</w:t>
                      </w:r>
                    </w:p>
                  </w:txbxContent>
                </v:textbox>
              </v:roundrect>
            </w:pict>
          </mc:Fallback>
        </mc:AlternateContent>
      </w:r>
      <w:r>
        <w:rPr>
          <w:rFonts w:ascii="华文新魏" w:eastAsia="华文新魏"/>
          <w:sz w:val="30"/>
          <w:szCs w:val="30"/>
        </w:rPr>
        <w:tab/>
      </w:r>
      <w:r>
        <w:rPr>
          <w:rFonts w:ascii="华文新魏" w:eastAsia="华文新魏"/>
          <w:sz w:val="30"/>
          <w:szCs w:val="30"/>
        </w:rPr>
        <w:t xml:space="preserve">          </w:t>
      </w:r>
    </w:p>
    <w:p>
      <w:pPr>
        <w:pStyle w:val="3"/>
        <w:pBdr>
          <w:bottom w:val="none" w:color="auto" w:sz="0" w:space="0"/>
        </w:pBdr>
        <w:ind w:firstLine="3614" w:firstLineChars="1500"/>
        <w:jc w:val="both"/>
        <w:rPr>
          <w:rFonts w:ascii="宋体" w:hAnsi="宋体"/>
          <w:b/>
          <w:bCs/>
          <w:sz w:val="24"/>
          <w:szCs w:val="24"/>
        </w:rPr>
      </w:pPr>
      <w:r>
        <w:rPr>
          <w:rFonts w:hint="eastAsia" w:ascii="宋体" w:hAnsi="宋体"/>
          <w:b/>
          <w:bCs/>
          <w:sz w:val="24"/>
          <w:szCs w:val="24"/>
        </w:rPr>
        <w:t>秘书处七月份工作简要回顾</w:t>
      </w:r>
    </w:p>
    <w:p>
      <w:pPr>
        <w:spacing w:line="360" w:lineRule="auto"/>
        <w:ind w:firstLine="1890" w:firstLineChars="900"/>
        <w:jc w:val="left"/>
        <w:rPr>
          <w:rFonts w:hint="eastAsia" w:cs="微软雅黑" w:asciiTheme="majorEastAsia" w:hAnsiTheme="majorEastAsia" w:eastAsiaTheme="majorEastAsia"/>
          <w:color w:val="333333"/>
          <w:shd w:val="clear" w:color="auto" w:fill="FFFFFF"/>
          <w:lang w:eastAsia="zh-CN"/>
        </w:rPr>
      </w:pPr>
      <w:r>
        <w:rPr>
          <w:rFonts w:cs="微软雅黑" w:asciiTheme="majorEastAsia" w:hAnsiTheme="majorEastAsia" w:eastAsiaTheme="majorEastAsia"/>
          <w:color w:val="333333"/>
          <w:shd w:val="clear" w:color="auto" w:fill="FFFFFF"/>
        </w:rPr>
        <w:t>7月12日</w:t>
      </w:r>
      <w:r>
        <w:rPr>
          <w:rFonts w:hint="eastAsia" w:cs="微软雅黑" w:asciiTheme="majorEastAsia" w:hAnsiTheme="majorEastAsia" w:eastAsiaTheme="majorEastAsia"/>
          <w:color w:val="333333"/>
          <w:shd w:val="clear" w:color="auto" w:fill="FFFFFF"/>
        </w:rPr>
        <w:t>，秘书处来到宁波石化经济技术开发区管委会拜访产业发展局等有关处室。重点介绍了我会的历史沿革、办会宗旨和当前几项主要工作，同时特别提到有相当多的会员在石化开发区这一特点。开发区管委会领导对我会提出的为企业提供精准服务等理念给予充分肯定，并表示今后将提供更多帮助和支持。</w:t>
      </w:r>
      <w:r>
        <w:rPr>
          <w:rFonts w:hint="eastAsia" w:cs="微软雅黑" w:asciiTheme="majorEastAsia" w:hAnsiTheme="majorEastAsia" w:eastAsiaTheme="majorEastAsia"/>
          <w:color w:val="333333"/>
          <w:shd w:val="clear" w:color="auto" w:fill="FFFFFF"/>
          <w:lang w:eastAsia="zh-CN"/>
        </w:rPr>
        <w:drawing>
          <wp:inline distT="0" distB="0" distL="114300" distR="114300">
            <wp:extent cx="5099050" cy="3823970"/>
            <wp:effectExtent l="0" t="0" r="6350" b="5080"/>
            <wp:docPr id="1" name="图片 1" descr="b6a5ce5816b2d8bde850f53f305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6a5ce5816b2d8bde850f53f3056690"/>
                    <pic:cNvPicPr>
                      <a:picLocks noChangeAspect="1"/>
                    </pic:cNvPicPr>
                  </pic:nvPicPr>
                  <pic:blipFill>
                    <a:blip r:embed="rId4"/>
                    <a:stretch>
                      <a:fillRect/>
                    </a:stretch>
                  </pic:blipFill>
                  <pic:spPr>
                    <a:xfrm>
                      <a:off x="0" y="0"/>
                      <a:ext cx="5099050" cy="3823970"/>
                    </a:xfrm>
                    <a:prstGeom prst="rect">
                      <a:avLst/>
                    </a:prstGeom>
                  </pic:spPr>
                </pic:pic>
              </a:graphicData>
            </a:graphic>
          </wp:inline>
        </w:drawing>
      </w:r>
    </w:p>
    <w:p>
      <w:pPr>
        <w:spacing w:line="360" w:lineRule="auto"/>
        <w:ind w:firstLine="1890" w:firstLineChars="900"/>
        <w:rPr>
          <w:rFonts w:hint="eastAsia" w:cs="微软雅黑" w:asciiTheme="majorEastAsia" w:hAnsiTheme="majorEastAsia" w:eastAsiaTheme="majorEastAsia"/>
          <w:color w:val="333333"/>
          <w:shd w:val="clear" w:color="auto" w:fill="FFFFFF"/>
        </w:rPr>
      </w:pPr>
    </w:p>
    <w:p>
      <w:pPr>
        <w:spacing w:line="360" w:lineRule="auto"/>
        <w:ind w:firstLine="420" w:firstLineChars="200"/>
        <w:rPr>
          <w:rFonts w:hint="eastAsia" w:cs="微软雅黑" w:asciiTheme="majorEastAsia" w:hAnsiTheme="majorEastAsia" w:eastAsiaTheme="majorEastAsia"/>
          <w:color w:val="333333"/>
          <w:shd w:val="clear" w:color="auto" w:fill="FFFFFF"/>
        </w:rPr>
      </w:pPr>
      <w:r>
        <w:rPr>
          <w:rFonts w:hint="eastAsia" w:cs="微软雅黑" w:asciiTheme="majorEastAsia" w:hAnsiTheme="majorEastAsia" w:eastAsiaTheme="majorEastAsia"/>
          <w:color w:val="333333"/>
          <w:shd w:val="clear" w:color="auto" w:fill="FFFFFF"/>
        </w:rPr>
        <w:t>7月21日 ，我会秘书处派员参加社会组织等级评估培训，系统学习了解等级评估各条款解读，为迎接即将到来的等级评估工作打下了基础。</w:t>
      </w:r>
    </w:p>
    <w:p>
      <w:pPr>
        <w:spacing w:line="360" w:lineRule="auto"/>
        <w:ind w:firstLine="420" w:firstLineChars="200"/>
        <w:rPr>
          <w:rFonts w:hint="eastAsia" w:cs="微软雅黑" w:asciiTheme="majorEastAsia" w:hAnsiTheme="majorEastAsia" w:eastAsiaTheme="majorEastAsia"/>
          <w:color w:val="333333"/>
          <w:shd w:val="clear" w:color="auto" w:fill="FFFFFF"/>
        </w:rPr>
      </w:pPr>
    </w:p>
    <w:p>
      <w:pPr>
        <w:spacing w:line="360" w:lineRule="auto"/>
        <w:ind w:firstLine="420" w:firstLineChars="200"/>
        <w:rPr>
          <w:rFonts w:cs="微软雅黑" w:asciiTheme="majorEastAsia" w:hAnsiTheme="majorEastAsia" w:eastAsiaTheme="majorEastAsia"/>
          <w:color w:val="333333"/>
          <w:shd w:val="clear" w:color="auto" w:fill="FFFFFF"/>
        </w:rPr>
      </w:pPr>
      <w:r>
        <w:rPr>
          <w:rFonts w:hint="eastAsia" w:cs="微软雅黑" w:asciiTheme="majorEastAsia" w:hAnsiTheme="majorEastAsia" w:eastAsiaTheme="majorEastAsia"/>
          <w:color w:val="333333"/>
          <w:shd w:val="clear" w:color="auto" w:fill="FFFFFF"/>
        </w:rPr>
        <w:t>7月26日，朱巧娟秘书长</w:t>
      </w:r>
      <w:r>
        <w:rPr>
          <w:rFonts w:cs="微软雅黑" w:asciiTheme="majorEastAsia" w:hAnsiTheme="majorEastAsia" w:eastAsiaTheme="majorEastAsia"/>
          <w:color w:val="333333"/>
          <w:shd w:val="clear" w:color="auto" w:fill="FFFFFF"/>
        </w:rPr>
        <w:t>参加上海第22届中国国际染料工业及有机颜料、纺织化学品展览会</w:t>
      </w:r>
      <w:r>
        <w:rPr>
          <w:rFonts w:hint="eastAsia" w:cs="微软雅黑" w:asciiTheme="majorEastAsia" w:hAnsiTheme="majorEastAsia" w:eastAsiaTheme="majorEastAsia"/>
          <w:color w:val="333333"/>
          <w:shd w:val="clear" w:color="auto" w:fill="FFFFFF"/>
        </w:rPr>
        <w:t>，了解宁波锐远新材料科技公司、宁波化工原料有限公司等会员企业参展情况。同时获取了大量行业动态和相关信息。</w:t>
      </w:r>
    </w:p>
    <w:p>
      <w:pPr>
        <w:spacing w:line="360" w:lineRule="auto"/>
        <w:ind w:firstLine="420" w:firstLineChars="200"/>
        <w:rPr>
          <w:rFonts w:cs="微软雅黑" w:asciiTheme="majorEastAsia" w:hAnsiTheme="majorEastAsia" w:eastAsiaTheme="majorEastAsia"/>
          <w:color w:val="333333"/>
          <w:shd w:val="clear" w:color="auto" w:fill="FFFFFF"/>
        </w:rPr>
      </w:pPr>
      <w:r>
        <w:rPr>
          <w:rFonts w:hint="eastAsia" w:cs="微软雅黑" w:asciiTheme="majorEastAsia" w:hAnsiTheme="majorEastAsia" w:eastAsiaTheme="majorEastAsia"/>
          <w:color w:val="333333"/>
          <w:shd w:val="clear" w:color="auto" w:fill="FFFFFF"/>
        </w:rPr>
        <w:t>为进一步理顺我会与政府有关部门的工作关系，秘书处于7月底先后到市贸促会、市行政服务中心、市民政局等部门汇报情况、对接工作，取得了满意效果。</w:t>
      </w:r>
    </w:p>
    <w:p>
      <w:pPr>
        <w:spacing w:line="360" w:lineRule="auto"/>
        <w:ind w:firstLine="420" w:firstLineChars="200"/>
        <w:rPr>
          <w:rFonts w:cs="微软雅黑" w:asciiTheme="majorEastAsia" w:hAnsiTheme="majorEastAsia" w:eastAsiaTheme="majorEastAsia"/>
          <w:color w:val="333333"/>
          <w:shd w:val="clear" w:color="auto" w:fill="FFFFFF"/>
        </w:rPr>
      </w:pPr>
      <w:r>
        <w:rPr>
          <w:rFonts w:hint="eastAsia" w:cs="微软雅黑" w:asciiTheme="majorEastAsia" w:hAnsiTheme="majorEastAsia" w:eastAsiaTheme="majorEastAsia"/>
          <w:color w:val="333333"/>
          <w:shd w:val="clear" w:color="auto" w:fill="FFFFFF"/>
        </w:rPr>
        <w:t>此外，7月份发布外贸预警信息2</w:t>
      </w:r>
      <w:r>
        <w:rPr>
          <w:rFonts w:cs="微软雅黑" w:asciiTheme="majorEastAsia" w:hAnsiTheme="majorEastAsia" w:eastAsiaTheme="majorEastAsia"/>
          <w:color w:val="333333"/>
          <w:shd w:val="clear" w:color="auto" w:fill="FFFFFF"/>
        </w:rPr>
        <w:t>2</w:t>
      </w:r>
      <w:r>
        <w:rPr>
          <w:rFonts w:hint="eastAsia" w:cs="微软雅黑" w:asciiTheme="majorEastAsia" w:hAnsiTheme="majorEastAsia" w:eastAsiaTheme="majorEastAsia"/>
          <w:color w:val="333333"/>
          <w:shd w:val="clear" w:color="auto" w:fill="FFFFFF"/>
        </w:rPr>
        <w:t>篇，公众信息号推送信息4篇。</w:t>
      </w:r>
    </w:p>
    <w:p>
      <w:pPr>
        <w:pStyle w:val="3"/>
        <w:pBdr>
          <w:bottom w:val="none" w:color="auto" w:sz="0" w:space="0"/>
        </w:pBdr>
        <w:ind w:firstLine="2700" w:firstLineChars="1500"/>
        <w:jc w:val="both"/>
        <w:rPr>
          <w:rFonts w:cs="微软雅黑" w:asciiTheme="majorEastAsia" w:hAnsiTheme="majorEastAsia" w:eastAsiaTheme="majorEastAsia"/>
          <w:color w:val="333333"/>
          <w:shd w:val="clear" w:color="auto" w:fill="FFFFFF"/>
        </w:rPr>
      </w:pPr>
      <w:r>
        <w:rPr>
          <w:rFonts w:hint="eastAsia" w:cs="微软雅黑" w:asciiTheme="majorEastAsia" w:hAnsiTheme="majorEastAsia" w:eastAsiaTheme="majorEastAsia"/>
          <w:color w:val="333333"/>
          <w:shd w:val="clear" w:color="auto" w:fill="FFFFFF"/>
        </w:rPr>
        <w:t xml:space="preserve"> </w:t>
      </w:r>
      <w:r>
        <w:rPr>
          <w:rFonts w:cs="微软雅黑" w:asciiTheme="majorEastAsia" w:hAnsiTheme="majorEastAsia" w:eastAsiaTheme="majorEastAsia"/>
          <w:color w:val="333333"/>
          <w:shd w:val="clear" w:color="auto" w:fill="FFFFFF"/>
        </w:rPr>
        <w:t xml:space="preserve">   </w:t>
      </w:r>
    </w:p>
    <w:p>
      <w:pPr>
        <w:pStyle w:val="3"/>
        <w:pBdr>
          <w:bottom w:val="none" w:color="auto" w:sz="0" w:space="0"/>
        </w:pBdr>
        <w:ind w:firstLine="2409" w:firstLineChars="1000"/>
        <w:jc w:val="both"/>
        <w:rPr>
          <w:rFonts w:cs="微软雅黑" w:asciiTheme="majorEastAsia" w:hAnsiTheme="majorEastAsia" w:eastAsiaTheme="majorEastAsia"/>
          <w:color w:val="333333"/>
          <w:shd w:val="clear" w:color="auto" w:fill="FFFFFF"/>
        </w:rPr>
      </w:pPr>
      <w:r>
        <w:rPr>
          <w:rFonts w:hint="eastAsia" w:ascii="宋体" w:hAnsi="宋体"/>
          <w:b/>
          <w:bCs/>
          <w:sz w:val="24"/>
          <w:szCs w:val="24"/>
        </w:rPr>
        <w:t>宁波市社会组织等级评估进入初审阶段</w:t>
      </w:r>
    </w:p>
    <w:p>
      <w:pPr>
        <w:pStyle w:val="4"/>
        <w:shd w:val="clear" w:color="auto" w:fill="FFFFFF"/>
        <w:spacing w:before="15" w:beforeAutospacing="0" w:after="15" w:afterAutospacing="0" w:line="360" w:lineRule="auto"/>
        <w:ind w:firstLine="482"/>
        <w:rPr>
          <w:rFonts w:cs="微软雅黑" w:asciiTheme="majorEastAsia" w:hAnsiTheme="majorEastAsia" w:eastAsiaTheme="majorEastAsia"/>
          <w:color w:val="333333"/>
          <w:kern w:val="2"/>
          <w:sz w:val="21"/>
          <w:szCs w:val="21"/>
          <w:shd w:val="clear" w:color="auto" w:fill="FFFFFF"/>
        </w:rPr>
      </w:pPr>
      <w:r>
        <w:rPr>
          <w:rFonts w:cs="微软雅黑" w:asciiTheme="majorEastAsia" w:hAnsiTheme="majorEastAsia" w:eastAsiaTheme="majorEastAsia"/>
          <w:color w:val="333333"/>
          <w:kern w:val="2"/>
          <w:sz w:val="21"/>
          <w:szCs w:val="21"/>
          <w:shd w:val="clear" w:color="auto" w:fill="FFFFFF"/>
        </w:rPr>
        <w:t>8</w:t>
      </w:r>
      <w:r>
        <w:rPr>
          <w:rFonts w:hint="eastAsia" w:cs="微软雅黑" w:asciiTheme="majorEastAsia" w:hAnsiTheme="majorEastAsia" w:eastAsiaTheme="majorEastAsia"/>
          <w:color w:val="333333"/>
          <w:kern w:val="2"/>
          <w:sz w:val="21"/>
          <w:szCs w:val="21"/>
          <w:shd w:val="clear" w:color="auto" w:fill="FFFFFF"/>
        </w:rPr>
        <w:t>月份，宁波市社会组织等级评估工作全款启动，</w:t>
      </w:r>
      <w:r>
        <w:rPr>
          <w:rFonts w:cs="微软雅黑" w:asciiTheme="majorEastAsia" w:hAnsiTheme="majorEastAsia" w:eastAsiaTheme="majorEastAsia"/>
          <w:color w:val="333333"/>
          <w:kern w:val="2"/>
          <w:sz w:val="21"/>
          <w:szCs w:val="21"/>
          <w:shd w:val="clear" w:color="auto" w:fill="FFFFFF"/>
        </w:rPr>
        <w:t>8</w:t>
      </w:r>
      <w:r>
        <w:rPr>
          <w:rFonts w:hint="eastAsia" w:cs="微软雅黑" w:asciiTheme="majorEastAsia" w:hAnsiTheme="majorEastAsia" w:eastAsiaTheme="majorEastAsia"/>
          <w:color w:val="333333"/>
          <w:kern w:val="2"/>
          <w:sz w:val="21"/>
          <w:szCs w:val="21"/>
          <w:shd w:val="clear" w:color="auto" w:fill="FFFFFF"/>
        </w:rPr>
        <w:t>月4日-</w:t>
      </w:r>
      <w:r>
        <w:rPr>
          <w:rFonts w:cs="微软雅黑" w:asciiTheme="majorEastAsia" w:hAnsiTheme="majorEastAsia" w:eastAsiaTheme="majorEastAsia"/>
          <w:color w:val="333333"/>
          <w:kern w:val="2"/>
          <w:sz w:val="21"/>
          <w:szCs w:val="21"/>
          <w:shd w:val="clear" w:color="auto" w:fill="FFFFFF"/>
        </w:rPr>
        <w:t>8</w:t>
      </w:r>
      <w:r>
        <w:rPr>
          <w:rFonts w:hint="eastAsia" w:cs="微软雅黑" w:asciiTheme="majorEastAsia" w:hAnsiTheme="majorEastAsia" w:eastAsiaTheme="majorEastAsia"/>
          <w:color w:val="333333"/>
          <w:kern w:val="2"/>
          <w:sz w:val="21"/>
          <w:szCs w:val="21"/>
          <w:shd w:val="clear" w:color="auto" w:fill="FFFFFF"/>
        </w:rPr>
        <w:t>月1</w:t>
      </w:r>
      <w:r>
        <w:rPr>
          <w:rFonts w:cs="微软雅黑" w:asciiTheme="majorEastAsia" w:hAnsiTheme="majorEastAsia" w:eastAsiaTheme="majorEastAsia"/>
          <w:color w:val="333333"/>
          <w:kern w:val="2"/>
          <w:sz w:val="21"/>
          <w:szCs w:val="21"/>
          <w:shd w:val="clear" w:color="auto" w:fill="FFFFFF"/>
        </w:rPr>
        <w:t>0</w:t>
      </w:r>
      <w:r>
        <w:rPr>
          <w:rFonts w:hint="eastAsia" w:cs="微软雅黑" w:asciiTheme="majorEastAsia" w:hAnsiTheme="majorEastAsia" w:eastAsiaTheme="majorEastAsia"/>
          <w:color w:val="333333"/>
          <w:kern w:val="2"/>
          <w:sz w:val="21"/>
          <w:szCs w:val="21"/>
          <w:shd w:val="clear" w:color="auto" w:fill="FFFFFF"/>
        </w:rPr>
        <w:t>日为初审阶段。这次等级评估工作将从评估专家实地评估、对前两年财务实施进行专项评价审计、对社会评价部分进行测评等多个方面对参评的社会组织进行评审，评审力度和严格程度是空前的。</w:t>
      </w:r>
    </w:p>
    <w:p>
      <w:pPr>
        <w:pStyle w:val="4"/>
        <w:shd w:val="clear" w:color="auto" w:fill="FFFFFF"/>
        <w:spacing w:before="15" w:beforeAutospacing="0" w:after="15" w:afterAutospacing="0" w:line="360" w:lineRule="auto"/>
        <w:ind w:firstLine="482"/>
        <w:rPr>
          <w:rFonts w:hint="eastAsia" w:cs="微软雅黑" w:asciiTheme="majorEastAsia" w:hAnsiTheme="majorEastAsia" w:eastAsiaTheme="majorEastAsia"/>
          <w:color w:val="333333"/>
          <w:kern w:val="2"/>
          <w:sz w:val="21"/>
          <w:szCs w:val="21"/>
          <w:shd w:val="clear" w:color="auto" w:fill="FFFFFF"/>
          <w:lang w:eastAsia="zh-CN"/>
        </w:rPr>
      </w:pPr>
      <w:r>
        <w:rPr>
          <w:rFonts w:hint="eastAsia" w:cs="微软雅黑" w:asciiTheme="majorEastAsia" w:hAnsiTheme="majorEastAsia" w:eastAsiaTheme="majorEastAsia"/>
          <w:color w:val="333333"/>
          <w:kern w:val="2"/>
          <w:sz w:val="21"/>
          <w:szCs w:val="21"/>
          <w:shd w:val="clear" w:color="auto" w:fill="FFFFFF"/>
        </w:rPr>
        <w:t>参加社会组织等级评估是行业协会优先承接政府转移职能和购买服务、先进推荐、获取税收优惠的重要前提，更是强化自身建设、提升服务质效的重要途径。为此，我会秘书处认真对待，做了大量具体而细致的准备工作，希望获得一个较为满意的评估结果。</w:t>
      </w:r>
      <w:r>
        <w:rPr>
          <w:rFonts w:hint="eastAsia" w:cs="微软雅黑" w:asciiTheme="majorEastAsia" w:hAnsiTheme="majorEastAsia" w:eastAsiaTheme="majorEastAsia"/>
          <w:color w:val="333333"/>
          <w:kern w:val="2"/>
          <w:sz w:val="21"/>
          <w:szCs w:val="21"/>
          <w:shd w:val="clear" w:color="auto" w:fill="FFFFFF"/>
          <w:lang w:eastAsia="zh-CN"/>
        </w:rPr>
        <w:drawing>
          <wp:inline distT="0" distB="0" distL="114300" distR="114300">
            <wp:extent cx="3609975" cy="2704465"/>
            <wp:effectExtent l="0" t="0" r="9525" b="635"/>
            <wp:docPr id="2" name="图片 2" descr="cbb2f7edd316f9503dfa4f7c6437d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bb2f7edd316f9503dfa4f7c6437daf"/>
                    <pic:cNvPicPr>
                      <a:picLocks noChangeAspect="1"/>
                    </pic:cNvPicPr>
                  </pic:nvPicPr>
                  <pic:blipFill>
                    <a:blip r:embed="rId5"/>
                    <a:stretch>
                      <a:fillRect/>
                    </a:stretch>
                  </pic:blipFill>
                  <pic:spPr>
                    <a:xfrm>
                      <a:off x="0" y="0"/>
                      <a:ext cx="3609975" cy="2704465"/>
                    </a:xfrm>
                    <a:prstGeom prst="rect">
                      <a:avLst/>
                    </a:prstGeom>
                  </pic:spPr>
                </pic:pic>
              </a:graphicData>
            </a:graphic>
          </wp:inline>
        </w:drawing>
      </w:r>
      <w:bookmarkStart w:id="4" w:name="_GoBack"/>
      <w:bookmarkEnd w:id="4"/>
    </w:p>
    <w:p>
      <w:pPr>
        <w:pStyle w:val="4"/>
        <w:shd w:val="clear" w:color="auto" w:fill="FFFFFF"/>
        <w:spacing w:before="15" w:beforeAutospacing="0" w:after="15" w:afterAutospacing="0" w:line="360" w:lineRule="auto"/>
        <w:rPr>
          <w:rFonts w:cs="微软雅黑" w:asciiTheme="majorEastAsia" w:hAnsiTheme="majorEastAsia" w:eastAsiaTheme="majorEastAsia"/>
          <w:color w:val="333333"/>
          <w:kern w:val="2"/>
          <w:sz w:val="21"/>
          <w:szCs w:val="21"/>
          <w:shd w:val="clear" w:color="auto" w:fill="FFFFFF"/>
        </w:rPr>
      </w:pPr>
      <w:r>
        <w:rPr>
          <w:rFonts w:hint="eastAsia" w:cs="微软雅黑" w:asciiTheme="majorEastAsia" w:hAnsiTheme="majorEastAsia" w:eastAsiaTheme="majorEastAsia"/>
          <w:color w:val="333333"/>
          <w:kern w:val="2"/>
          <w:sz w:val="21"/>
          <w:szCs w:val="21"/>
        </w:rPr>
        <mc:AlternateContent>
          <mc:Choice Requires="wps">
            <w:drawing>
              <wp:anchor distT="0" distB="0" distL="114300" distR="114300" simplePos="0" relativeHeight="251661312" behindDoc="0" locked="0" layoutInCell="1" allowOverlap="1">
                <wp:simplePos x="0" y="0"/>
                <wp:positionH relativeFrom="margin">
                  <wp:posOffset>109855</wp:posOffset>
                </wp:positionH>
                <wp:positionV relativeFrom="paragraph">
                  <wp:posOffset>136525</wp:posOffset>
                </wp:positionV>
                <wp:extent cx="1028700" cy="571500"/>
                <wp:effectExtent l="57150" t="38100" r="76200" b="95250"/>
                <wp:wrapNone/>
                <wp:docPr id="1690715734" name="矩形: 圆角 1"/>
                <wp:cNvGraphicFramePr/>
                <a:graphic xmlns:a="http://schemas.openxmlformats.org/drawingml/2006/main">
                  <a:graphicData uri="http://schemas.microsoft.com/office/word/2010/wordprocessingShape">
                    <wps:wsp>
                      <wps:cNvSpPr/>
                      <wps:spPr>
                        <a:xfrm>
                          <a:off x="0" y="0"/>
                          <a:ext cx="1028700" cy="571500"/>
                        </a:xfrm>
                        <a:prstGeom prst="roundRect">
                          <a:avLst/>
                        </a:prstGeom>
                      </wps:spPr>
                      <wps:style>
                        <a:lnRef idx="1">
                          <a:schemeClr val="dk1"/>
                        </a:lnRef>
                        <a:fillRef idx="2">
                          <a:schemeClr val="dk1"/>
                        </a:fillRef>
                        <a:effectRef idx="1">
                          <a:schemeClr val="dk1"/>
                        </a:effectRef>
                        <a:fontRef idx="minor">
                          <a:schemeClr val="dk1"/>
                        </a:fontRef>
                      </wps:style>
                      <wps:txbx>
                        <w:txbxContent>
                          <w:p>
                            <w:pPr>
                              <w:jc w:val="center"/>
                              <w:rPr>
                                <w:rFonts w:ascii="华文新魏" w:eastAsia="华文新魏"/>
                                <w:sz w:val="30"/>
                                <w:szCs w:val="30"/>
                              </w:rPr>
                            </w:pPr>
                            <w:r>
                              <w:rPr>
                                <w:rFonts w:hint="eastAsia" w:ascii="华文新魏" w:eastAsia="华文新魏"/>
                                <w:sz w:val="30"/>
                                <w:szCs w:val="30"/>
                              </w:rPr>
                              <w:t>会员风采</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矩形: 圆角 1" o:spid="_x0000_s1026" o:spt="2" style="position:absolute;left:0pt;margin-left:8.65pt;margin-top:10.75pt;height:45pt;width:81pt;mso-position-horizontal-relative:margin;z-index:251661312;v-text-anchor:middle;mso-width-relative:page;mso-height-relative:page;" fillcolor="#BCBCBC [3216]" filled="t" stroked="t" coordsize="21600,21600" arcsize="0.166666666666667" o:gfxdata="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">
                <v:fill type="gradient" on="t" color2="#EDEDED [3216]" colors="0f #BCBCBC;22938f #D0D0D0;65536f #EDEDED" angle="180" focus="100%" focussize="0,0" rotate="t"/>
                <v:stroke color="#000000 [3200]" joinstyle="round"/>
                <v:imagedata o:title=""/>
                <o:lock v:ext="edit" aspectratio="f"/>
                <v:shadow on="t" color="#000000" opacity="24903f" offset="0pt,1.5748031496063pt" origin="0f,32768f" matrix="65536f,0f,0f,65536f"/>
                <v:textbox>
                  <w:txbxContent>
                    <w:p>
                      <w:pPr>
                        <w:jc w:val="center"/>
                        <w:rPr>
                          <w:rFonts w:ascii="华文新魏" w:eastAsia="华文新魏"/>
                          <w:sz w:val="30"/>
                          <w:szCs w:val="30"/>
                        </w:rPr>
                      </w:pPr>
                      <w:r>
                        <w:rPr>
                          <w:rFonts w:hint="eastAsia" w:ascii="华文新魏" w:eastAsia="华文新魏"/>
                          <w:sz w:val="30"/>
                          <w:szCs w:val="30"/>
                        </w:rPr>
                        <w:t>会员风采</w:t>
                      </w:r>
                    </w:p>
                  </w:txbxContent>
                </v:textbox>
              </v:roundrect>
            </w:pict>
          </mc:Fallback>
        </mc:AlternateContent>
      </w:r>
    </w:p>
    <w:p>
      <w:pPr>
        <w:pStyle w:val="3"/>
        <w:pBdr>
          <w:bottom w:val="none" w:color="auto" w:sz="0" w:space="0"/>
        </w:pBdr>
        <w:spacing w:line="360" w:lineRule="auto"/>
        <w:ind w:firstLine="1800" w:firstLineChars="1000"/>
        <w:jc w:val="both"/>
        <w:rPr>
          <w:rFonts w:ascii="宋体" w:hAnsi="宋体"/>
          <w:b/>
          <w:bCs/>
          <w:sz w:val="24"/>
          <w:szCs w:val="24"/>
        </w:rPr>
      </w:pPr>
      <w:r>
        <w:rPr>
          <w:rFonts w:cs="微软雅黑" w:asciiTheme="majorEastAsia" w:hAnsiTheme="majorEastAsia" w:eastAsiaTheme="majorEastAsia"/>
          <w:color w:val="333333"/>
          <w:shd w:val="clear" w:color="auto" w:fill="FFFFFF"/>
        </w:rPr>
        <w:tab/>
      </w:r>
      <w:r>
        <w:rPr>
          <w:rFonts w:cs="微软雅黑" w:asciiTheme="majorEastAsia" w:hAnsiTheme="majorEastAsia" w:eastAsiaTheme="majorEastAsia"/>
          <w:color w:val="333333"/>
          <w:shd w:val="clear" w:color="auto" w:fill="FFFFFF"/>
        </w:rPr>
        <w:t xml:space="preserve">     </w:t>
      </w:r>
      <w:r>
        <w:rPr>
          <w:rFonts w:hint="eastAsia" w:ascii="宋体" w:hAnsi="宋体"/>
          <w:b/>
          <w:bCs/>
          <w:sz w:val="24"/>
          <w:szCs w:val="24"/>
        </w:rPr>
        <w:t>锐远新材料科技有限公司参加上海国际涂料博览会</w:t>
      </w:r>
    </w:p>
    <w:p>
      <w:pPr>
        <w:pStyle w:val="3"/>
        <w:pBdr>
          <w:bottom w:val="none" w:color="auto" w:sz="0" w:space="0"/>
        </w:pBdr>
        <w:spacing w:line="360" w:lineRule="auto"/>
        <w:ind w:firstLine="2100" w:firstLineChars="1000"/>
        <w:jc w:val="both"/>
        <w:rPr>
          <w:rFonts w:cs="微软雅黑" w:asciiTheme="majorEastAsia" w:hAnsiTheme="majorEastAsia" w:eastAsiaTheme="majorEastAsia"/>
          <w:color w:val="333333"/>
          <w:sz w:val="21"/>
          <w:szCs w:val="21"/>
          <w:shd w:val="clear" w:color="auto" w:fill="FFFFFF"/>
        </w:rPr>
      </w:pPr>
      <w:r>
        <w:rPr>
          <w:rFonts w:hint="eastAsia" w:cs="微软雅黑" w:asciiTheme="majorEastAsia" w:hAnsiTheme="majorEastAsia" w:eastAsiaTheme="majorEastAsia"/>
          <w:color w:val="333333"/>
          <w:sz w:val="21"/>
          <w:szCs w:val="21"/>
          <w:shd w:val="clear" w:color="auto" w:fill="FFFFFF"/>
        </w:rPr>
        <w:t>8月3-5日，中国国际涂料博览会暨第二十一届中国国际涂料展览在上海新国际博览中心举办。本次博览会是涂料界公认的集品牌宣传、产品展示、信息交流、业务拓展等功能为一体的重要平台。洪大集团宁波锐远新材料有限公司精彩亮相此次盛会并收获颇丰。</w:t>
      </w:r>
    </w:p>
    <w:p>
      <w:pPr>
        <w:pStyle w:val="3"/>
        <w:pBdr>
          <w:bottom w:val="none" w:color="auto" w:sz="0" w:space="0"/>
        </w:pBdr>
        <w:spacing w:line="360" w:lineRule="auto"/>
        <w:jc w:val="both"/>
        <w:rPr>
          <w:rFonts w:cs="微软雅黑" w:asciiTheme="majorEastAsia" w:hAnsiTheme="majorEastAsia" w:eastAsiaTheme="majorEastAsia"/>
          <w:color w:val="333333"/>
          <w:sz w:val="21"/>
          <w:szCs w:val="21"/>
          <w:shd w:val="clear" w:color="auto" w:fill="FFFFFF"/>
        </w:rPr>
      </w:pPr>
      <w:r>
        <w:rPr>
          <w:rFonts w:hint="eastAsia" w:cs="微软雅黑" w:asciiTheme="majorEastAsia" w:hAnsiTheme="majorEastAsia" w:eastAsiaTheme="majorEastAsia"/>
          <w:color w:val="333333"/>
          <w:sz w:val="21"/>
          <w:szCs w:val="21"/>
          <w:shd w:val="clear" w:color="auto" w:fill="FFFFFF"/>
        </w:rPr>
        <w:t xml:space="preserve"> </w:t>
      </w:r>
      <w:r>
        <w:rPr>
          <w:rFonts w:cs="微软雅黑" w:asciiTheme="majorEastAsia" w:hAnsiTheme="majorEastAsia" w:eastAsiaTheme="majorEastAsia"/>
          <w:color w:val="333333"/>
          <w:sz w:val="21"/>
          <w:szCs w:val="21"/>
          <w:shd w:val="clear" w:color="auto" w:fill="FFFFFF"/>
        </w:rPr>
        <w:t xml:space="preserve">                     </w:t>
      </w:r>
      <w:r>
        <w:rPr>
          <w:rFonts w:cs="微软雅黑" w:asciiTheme="majorEastAsia" w:hAnsiTheme="majorEastAsia" w:eastAsiaTheme="majorEastAsia"/>
          <w:color w:val="333333"/>
          <w:sz w:val="21"/>
          <w:szCs w:val="21"/>
          <w:shd w:val="clear" w:color="auto" w:fill="FFFFFF"/>
        </w:rPr>
        <w:drawing>
          <wp:inline distT="0" distB="0" distL="0" distR="0">
            <wp:extent cx="2974340" cy="1266825"/>
            <wp:effectExtent l="0" t="0" r="0" b="0"/>
            <wp:docPr id="4811543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54308" name="图片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flipH="1">
                      <a:off x="0" y="0"/>
                      <a:ext cx="2985593" cy="1271593"/>
                    </a:xfrm>
                    <a:prstGeom prst="rect">
                      <a:avLst/>
                    </a:prstGeom>
                    <a:noFill/>
                    <a:ln>
                      <a:noFill/>
                    </a:ln>
                  </pic:spPr>
                </pic:pic>
              </a:graphicData>
            </a:graphic>
          </wp:inline>
        </w:drawing>
      </w:r>
    </w:p>
    <w:p>
      <w:pPr>
        <w:pStyle w:val="3"/>
        <w:pBdr>
          <w:bottom w:val="none" w:color="auto" w:sz="0" w:space="0"/>
        </w:pBdr>
        <w:spacing w:line="360" w:lineRule="auto"/>
        <w:ind w:firstLine="1205" w:firstLineChars="500"/>
        <w:jc w:val="both"/>
        <w:rPr>
          <w:rFonts w:cs="微软雅黑" w:asciiTheme="minorEastAsia" w:hAnsiTheme="minorEastAsia" w:eastAsiaTheme="minorEastAsia"/>
          <w:b/>
          <w:bCs/>
          <w:color w:val="333333"/>
          <w:sz w:val="24"/>
          <w:szCs w:val="24"/>
          <w:shd w:val="clear" w:color="auto" w:fill="FFFFFF"/>
        </w:rPr>
      </w:pPr>
      <w:r>
        <w:rPr>
          <w:rFonts w:hint="eastAsia" w:cs="微软雅黑" w:asciiTheme="minorEastAsia" w:hAnsiTheme="minorEastAsia" w:eastAsiaTheme="minorEastAsia"/>
          <w:b/>
          <w:bCs/>
          <w:color w:val="333333"/>
          <w:sz w:val="24"/>
          <w:szCs w:val="24"/>
          <w:shd w:val="clear" w:color="auto" w:fill="FFFFFF"/>
        </w:rPr>
        <w:t>镇海区纳税二十强出炉，我会新福、镇洋两家会员企业榜上有名</w:t>
      </w:r>
    </w:p>
    <w:p>
      <w:pPr>
        <w:pStyle w:val="3"/>
        <w:pBdr>
          <w:bottom w:val="none" w:color="auto" w:sz="0" w:space="0"/>
        </w:pBdr>
        <w:spacing w:line="360" w:lineRule="auto"/>
        <w:ind w:firstLine="452" w:firstLineChars="200"/>
        <w:jc w:val="both"/>
        <w:rPr>
          <w:rFonts w:cs="微软雅黑" w:asciiTheme="minorEastAsia" w:hAnsiTheme="minorEastAsia" w:eastAsiaTheme="minorEastAsia"/>
          <w:b/>
          <w:bCs/>
          <w:color w:val="333333"/>
          <w:sz w:val="21"/>
          <w:szCs w:val="21"/>
          <w:shd w:val="clear" w:color="auto" w:fill="FFFFFF"/>
        </w:rPr>
      </w:pPr>
      <w:r>
        <w:rPr>
          <w:rFonts w:cs="宋体" w:asciiTheme="minorEastAsia" w:hAnsiTheme="minorEastAsia" w:eastAsiaTheme="minorEastAsia"/>
          <w:spacing w:val="8"/>
          <w:kern w:val="0"/>
          <w:sz w:val="21"/>
          <w:szCs w:val="21"/>
        </w:rPr>
        <w:t>7月1日，2022年度全区经济工作会议暨制造业高质量发展大会召开。会议隆重表彰全区纳税二十强、亩均效益领跑企业、科技创新引领TOP10企业、服务业十佳企业、区政府质量奖。</w:t>
      </w:r>
      <w:r>
        <w:rPr>
          <w:rFonts w:hint="eastAsia" w:cs="宋体" w:asciiTheme="minorEastAsia" w:hAnsiTheme="minorEastAsia" w:eastAsiaTheme="minorEastAsia"/>
          <w:spacing w:val="8"/>
          <w:kern w:val="0"/>
          <w:sz w:val="21"/>
          <w:szCs w:val="21"/>
        </w:rPr>
        <w:t>我会新福钛白粉、镇洋化工两家企业登上全区纳税二十强榜单，获得表彰。</w:t>
      </w:r>
    </w:p>
    <w:p>
      <w:pPr>
        <w:pStyle w:val="3"/>
        <w:pBdr>
          <w:bottom w:val="none" w:color="auto" w:sz="0" w:space="0"/>
        </w:pBdr>
        <w:spacing w:line="360" w:lineRule="auto"/>
        <w:jc w:val="both"/>
        <w:rPr>
          <w:rFonts w:cs="宋体" w:asciiTheme="minorEastAsia" w:hAnsiTheme="minorEastAsia" w:eastAsiaTheme="minorEastAsia"/>
          <w:spacing w:val="8"/>
          <w:kern w:val="0"/>
          <w:sz w:val="21"/>
          <w:szCs w:val="21"/>
        </w:rPr>
      </w:pPr>
      <w:r>
        <w:rPr>
          <w:rFonts w:hint="eastAsia" w:cs="宋体" w:asciiTheme="minorEastAsia" w:hAnsiTheme="minorEastAsia" w:eastAsiaTheme="minorEastAsia"/>
          <w:spacing w:val="8"/>
          <w:kern w:val="0"/>
          <w:sz w:val="21"/>
          <w:szCs w:val="21"/>
        </w:rPr>
        <w:t xml:space="preserve"> </w:t>
      </w:r>
      <w:r>
        <w:rPr>
          <w:rFonts w:cs="宋体" w:asciiTheme="minorEastAsia" w:hAnsiTheme="minorEastAsia" w:eastAsiaTheme="minorEastAsia"/>
          <w:spacing w:val="8"/>
          <w:kern w:val="0"/>
          <w:sz w:val="21"/>
          <w:szCs w:val="21"/>
        </w:rPr>
        <w:t xml:space="preserve">         </w:t>
      </w:r>
      <w:r>
        <w:rPr>
          <w:rFonts w:ascii="Microsoft YaHei UI" w:hAnsi="Microsoft YaHei UI" w:eastAsia="Microsoft YaHei UI" w:cs="宋体"/>
          <w:spacing w:val="8"/>
          <w:kern w:val="0"/>
          <w:sz w:val="24"/>
          <w:szCs w:val="24"/>
        </w:rPr>
        <w:t xml:space="preserve">       </w:t>
      </w:r>
      <w:r>
        <w:rPr>
          <w:rFonts w:ascii="Microsoft YaHei UI" w:hAnsi="Microsoft YaHei UI" w:eastAsia="Microsoft YaHei UI" w:cs="宋体"/>
          <w:spacing w:val="8"/>
          <w:kern w:val="0"/>
          <w:sz w:val="24"/>
          <w:szCs w:val="24"/>
        </w:rPr>
        <w:drawing>
          <wp:inline distT="0" distB="0" distL="0" distR="0">
            <wp:extent cx="3003550" cy="2009140"/>
            <wp:effectExtent l="0" t="0" r="6350" b="0"/>
            <wp:docPr id="2505131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13107"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028389" cy="2025716"/>
                    </a:xfrm>
                    <a:prstGeom prst="rect">
                      <a:avLst/>
                    </a:prstGeom>
                    <a:noFill/>
                    <a:ln>
                      <a:noFill/>
                    </a:ln>
                  </pic:spPr>
                </pic:pic>
              </a:graphicData>
            </a:graphic>
          </wp:inline>
        </w:drawing>
      </w:r>
    </w:p>
    <w:p>
      <w:pPr>
        <w:tabs>
          <w:tab w:val="left" w:pos="1680"/>
        </w:tabs>
        <w:spacing w:line="360" w:lineRule="auto"/>
        <w:ind w:firstLine="420" w:firstLineChars="200"/>
        <w:rPr>
          <w:rFonts w:cs="微软雅黑" w:asciiTheme="majorEastAsia" w:hAnsiTheme="majorEastAsia" w:eastAsiaTheme="majorEastAsia"/>
          <w:color w:val="333333"/>
          <w:shd w:val="clear" w:color="auto" w:fill="FFFFFF"/>
        </w:rPr>
      </w:pPr>
      <w:r>
        <w:rPr>
          <w:rFonts w:cs="微软雅黑" w:asciiTheme="majorEastAsia" w:hAnsiTheme="majorEastAsia" w:eastAsiaTheme="majorEastAsia"/>
          <w:color w:val="333333"/>
          <w:shd w:val="clear" w:color="auto" w:fill="FFFFFF"/>
        </w:rPr>
        <w:t xml:space="preserve"> </w:t>
      </w:r>
    </w:p>
    <w:p>
      <w:pPr>
        <w:tabs>
          <w:tab w:val="left" w:pos="1905"/>
        </w:tabs>
        <w:spacing w:line="360" w:lineRule="auto"/>
        <w:rPr>
          <w:rFonts w:ascii="华文新魏" w:eastAsia="华文新魏"/>
        </w:rPr>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7E1094"/>
    <w:multiLevelType w:val="multilevel"/>
    <w:tmpl w:val="647E1094"/>
    <w:lvl w:ilvl="0" w:tentative="0">
      <w:start w:val="1"/>
      <w:numFmt w:val="bullet"/>
      <w:lvlText w:val=""/>
      <w:lvlJc w:val="left"/>
      <w:pPr>
        <w:ind w:left="880" w:hanging="440"/>
      </w:pPr>
      <w:rPr>
        <w:rFonts w:hint="default" w:ascii="Wingdings" w:hAnsi="Wingdings"/>
      </w:rPr>
    </w:lvl>
    <w:lvl w:ilvl="1" w:tentative="0">
      <w:start w:val="1"/>
      <w:numFmt w:val="bullet"/>
      <w:lvlText w:val=""/>
      <w:lvlJc w:val="left"/>
      <w:pPr>
        <w:ind w:left="1320" w:hanging="440"/>
      </w:pPr>
      <w:rPr>
        <w:rFonts w:hint="default" w:ascii="Wingdings" w:hAnsi="Wingdings"/>
      </w:rPr>
    </w:lvl>
    <w:lvl w:ilvl="2" w:tentative="0">
      <w:start w:val="1"/>
      <w:numFmt w:val="bullet"/>
      <w:lvlText w:val=""/>
      <w:lvlJc w:val="left"/>
      <w:pPr>
        <w:ind w:left="1760" w:hanging="440"/>
      </w:pPr>
      <w:rPr>
        <w:rFonts w:hint="default" w:ascii="Wingdings" w:hAnsi="Wingdings"/>
      </w:rPr>
    </w:lvl>
    <w:lvl w:ilvl="3" w:tentative="0">
      <w:start w:val="1"/>
      <w:numFmt w:val="bullet"/>
      <w:lvlText w:val=""/>
      <w:lvlJc w:val="left"/>
      <w:pPr>
        <w:ind w:left="2200" w:hanging="440"/>
      </w:pPr>
      <w:rPr>
        <w:rFonts w:hint="default" w:ascii="Wingdings" w:hAnsi="Wingdings"/>
      </w:rPr>
    </w:lvl>
    <w:lvl w:ilvl="4" w:tentative="0">
      <w:start w:val="1"/>
      <w:numFmt w:val="bullet"/>
      <w:lvlText w:val=""/>
      <w:lvlJc w:val="left"/>
      <w:pPr>
        <w:ind w:left="2640" w:hanging="440"/>
      </w:pPr>
      <w:rPr>
        <w:rFonts w:hint="default" w:ascii="Wingdings" w:hAnsi="Wingdings"/>
      </w:rPr>
    </w:lvl>
    <w:lvl w:ilvl="5" w:tentative="0">
      <w:start w:val="1"/>
      <w:numFmt w:val="bullet"/>
      <w:lvlText w:val=""/>
      <w:lvlJc w:val="left"/>
      <w:pPr>
        <w:ind w:left="3080" w:hanging="440"/>
      </w:pPr>
      <w:rPr>
        <w:rFonts w:hint="default" w:ascii="Wingdings" w:hAnsi="Wingdings"/>
      </w:rPr>
    </w:lvl>
    <w:lvl w:ilvl="6" w:tentative="0">
      <w:start w:val="1"/>
      <w:numFmt w:val="bullet"/>
      <w:lvlText w:val=""/>
      <w:lvlJc w:val="left"/>
      <w:pPr>
        <w:ind w:left="3520" w:hanging="440"/>
      </w:pPr>
      <w:rPr>
        <w:rFonts w:hint="default" w:ascii="Wingdings" w:hAnsi="Wingdings"/>
      </w:rPr>
    </w:lvl>
    <w:lvl w:ilvl="7" w:tentative="0">
      <w:start w:val="1"/>
      <w:numFmt w:val="bullet"/>
      <w:lvlText w:val=""/>
      <w:lvlJc w:val="left"/>
      <w:pPr>
        <w:ind w:left="3960" w:hanging="440"/>
      </w:pPr>
      <w:rPr>
        <w:rFonts w:hint="default" w:ascii="Wingdings" w:hAnsi="Wingdings"/>
      </w:rPr>
    </w:lvl>
    <w:lvl w:ilvl="8" w:tentative="0">
      <w:start w:val="1"/>
      <w:numFmt w:val="bullet"/>
      <w:lvlText w:val=""/>
      <w:lvlJc w:val="left"/>
      <w:pPr>
        <w:ind w:left="440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I0NTgyZWUxYmE0YzVmODIzMjBjY2Q5MjI4Zjg5ODAifQ=="/>
  </w:docVars>
  <w:rsids>
    <w:rsidRoot w:val="00813A67"/>
    <w:rsid w:val="0000058B"/>
    <w:rsid w:val="00006E08"/>
    <w:rsid w:val="0001554B"/>
    <w:rsid w:val="00031030"/>
    <w:rsid w:val="00036B8D"/>
    <w:rsid w:val="000418AE"/>
    <w:rsid w:val="000572A0"/>
    <w:rsid w:val="00057DF3"/>
    <w:rsid w:val="00057ED1"/>
    <w:rsid w:val="000A0603"/>
    <w:rsid w:val="000A347F"/>
    <w:rsid w:val="000A56DB"/>
    <w:rsid w:val="000D63C8"/>
    <w:rsid w:val="000F4B65"/>
    <w:rsid w:val="00113156"/>
    <w:rsid w:val="00123C33"/>
    <w:rsid w:val="00130108"/>
    <w:rsid w:val="001308C0"/>
    <w:rsid w:val="00135546"/>
    <w:rsid w:val="001725A7"/>
    <w:rsid w:val="00184617"/>
    <w:rsid w:val="001C3329"/>
    <w:rsid w:val="001D6272"/>
    <w:rsid w:val="00202B95"/>
    <w:rsid w:val="00220287"/>
    <w:rsid w:val="00225972"/>
    <w:rsid w:val="00246FAB"/>
    <w:rsid w:val="00296E87"/>
    <w:rsid w:val="002A314D"/>
    <w:rsid w:val="002B1F5C"/>
    <w:rsid w:val="002B3936"/>
    <w:rsid w:val="002E55DA"/>
    <w:rsid w:val="00301C9F"/>
    <w:rsid w:val="00304EFA"/>
    <w:rsid w:val="003052CE"/>
    <w:rsid w:val="003363C6"/>
    <w:rsid w:val="0035430D"/>
    <w:rsid w:val="00361F81"/>
    <w:rsid w:val="00363CAD"/>
    <w:rsid w:val="00374D1B"/>
    <w:rsid w:val="00387454"/>
    <w:rsid w:val="003A182C"/>
    <w:rsid w:val="003B14CC"/>
    <w:rsid w:val="003E3289"/>
    <w:rsid w:val="0042796D"/>
    <w:rsid w:val="00440425"/>
    <w:rsid w:val="004427A8"/>
    <w:rsid w:val="00464F89"/>
    <w:rsid w:val="0047573E"/>
    <w:rsid w:val="004A59E7"/>
    <w:rsid w:val="004C7829"/>
    <w:rsid w:val="004D43EC"/>
    <w:rsid w:val="004E2B26"/>
    <w:rsid w:val="004F2C77"/>
    <w:rsid w:val="004F5ADC"/>
    <w:rsid w:val="004F7A58"/>
    <w:rsid w:val="00513496"/>
    <w:rsid w:val="005338A1"/>
    <w:rsid w:val="00540A0E"/>
    <w:rsid w:val="00586D3F"/>
    <w:rsid w:val="005A5B44"/>
    <w:rsid w:val="005B1ACA"/>
    <w:rsid w:val="005B5B33"/>
    <w:rsid w:val="005C469B"/>
    <w:rsid w:val="005F5447"/>
    <w:rsid w:val="006014E9"/>
    <w:rsid w:val="00604351"/>
    <w:rsid w:val="00615721"/>
    <w:rsid w:val="00615C99"/>
    <w:rsid w:val="0067477F"/>
    <w:rsid w:val="00674D9A"/>
    <w:rsid w:val="00691C0B"/>
    <w:rsid w:val="006D440B"/>
    <w:rsid w:val="006D4E62"/>
    <w:rsid w:val="006E28B7"/>
    <w:rsid w:val="006E6442"/>
    <w:rsid w:val="006F447A"/>
    <w:rsid w:val="00722D79"/>
    <w:rsid w:val="0074541E"/>
    <w:rsid w:val="007532EF"/>
    <w:rsid w:val="00773942"/>
    <w:rsid w:val="00777625"/>
    <w:rsid w:val="00783CC0"/>
    <w:rsid w:val="007C0E62"/>
    <w:rsid w:val="007C678B"/>
    <w:rsid w:val="007D10C8"/>
    <w:rsid w:val="00813A67"/>
    <w:rsid w:val="00830F06"/>
    <w:rsid w:val="008533ED"/>
    <w:rsid w:val="008B47AC"/>
    <w:rsid w:val="008B68EA"/>
    <w:rsid w:val="00925284"/>
    <w:rsid w:val="00985A83"/>
    <w:rsid w:val="00997932"/>
    <w:rsid w:val="009A6EF2"/>
    <w:rsid w:val="009D7367"/>
    <w:rsid w:val="009E7F14"/>
    <w:rsid w:val="009F2D53"/>
    <w:rsid w:val="00A02AAB"/>
    <w:rsid w:val="00A06263"/>
    <w:rsid w:val="00A17863"/>
    <w:rsid w:val="00A61854"/>
    <w:rsid w:val="00A62D03"/>
    <w:rsid w:val="00A87D35"/>
    <w:rsid w:val="00A95A06"/>
    <w:rsid w:val="00AA4444"/>
    <w:rsid w:val="00AC0647"/>
    <w:rsid w:val="00AE44A3"/>
    <w:rsid w:val="00B044D9"/>
    <w:rsid w:val="00B064B2"/>
    <w:rsid w:val="00B35E0C"/>
    <w:rsid w:val="00B45DDD"/>
    <w:rsid w:val="00BC6BBD"/>
    <w:rsid w:val="00BF0DEA"/>
    <w:rsid w:val="00C456F2"/>
    <w:rsid w:val="00C97A26"/>
    <w:rsid w:val="00CC5C00"/>
    <w:rsid w:val="00CD5B6B"/>
    <w:rsid w:val="00CF0F19"/>
    <w:rsid w:val="00CF5CA8"/>
    <w:rsid w:val="00D07BFB"/>
    <w:rsid w:val="00D1269B"/>
    <w:rsid w:val="00D374BB"/>
    <w:rsid w:val="00D727EE"/>
    <w:rsid w:val="00D72E46"/>
    <w:rsid w:val="00D75F99"/>
    <w:rsid w:val="00DA3ED4"/>
    <w:rsid w:val="00DB7B18"/>
    <w:rsid w:val="00DF11E1"/>
    <w:rsid w:val="00E540D0"/>
    <w:rsid w:val="00E91ED5"/>
    <w:rsid w:val="00E94372"/>
    <w:rsid w:val="00EA0E9B"/>
    <w:rsid w:val="00EA32AC"/>
    <w:rsid w:val="00EA4BE3"/>
    <w:rsid w:val="00EB4D73"/>
    <w:rsid w:val="00ED3FA8"/>
    <w:rsid w:val="00EF6710"/>
    <w:rsid w:val="00EF754A"/>
    <w:rsid w:val="00F2241A"/>
    <w:rsid w:val="00F47838"/>
    <w:rsid w:val="00F4789A"/>
    <w:rsid w:val="00F5561B"/>
    <w:rsid w:val="00F842AB"/>
    <w:rsid w:val="00F937C8"/>
    <w:rsid w:val="00F97C08"/>
    <w:rsid w:val="00FB3545"/>
    <w:rsid w:val="00FB691B"/>
    <w:rsid w:val="00FF4F65"/>
    <w:rsid w:val="3E59747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semiHidden/>
    <w:qFormat/>
    <w:uiPriority w:val="99"/>
    <w:pPr>
      <w:tabs>
        <w:tab w:val="center" w:pos="4153"/>
        <w:tab w:val="right" w:pos="8306"/>
      </w:tabs>
      <w:snapToGrid w:val="0"/>
      <w:jc w:val="left"/>
    </w:pPr>
    <w:rPr>
      <w:sz w:val="18"/>
      <w:szCs w:val="18"/>
    </w:rPr>
  </w:style>
  <w:style w:type="paragraph" w:styleId="3">
    <w:name w:val="header"/>
    <w:basedOn w:val="1"/>
    <w:link w:val="7"/>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字符"/>
    <w:basedOn w:val="6"/>
    <w:link w:val="3"/>
    <w:qFormat/>
    <w:locked/>
    <w:uiPriority w:val="99"/>
    <w:rPr>
      <w:rFonts w:ascii="Times New Roman" w:hAnsi="Times New Roman" w:eastAsia="宋体" w:cs="Times New Roman"/>
      <w:sz w:val="18"/>
      <w:szCs w:val="18"/>
    </w:rPr>
  </w:style>
  <w:style w:type="character" w:customStyle="1" w:styleId="8">
    <w:name w:val="页脚 字符"/>
    <w:basedOn w:val="6"/>
    <w:link w:val="2"/>
    <w:semiHidden/>
    <w:locked/>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8E7B4-E17E-489A-AC26-3F41D3B66140}">
  <ds:schemaRefs/>
</ds:datastoreItem>
</file>

<file path=docProps/app.xml><?xml version="1.0" encoding="utf-8"?>
<Properties xmlns="http://schemas.openxmlformats.org/officeDocument/2006/extended-properties" xmlns:vt="http://schemas.openxmlformats.org/officeDocument/2006/docPropsVTypes">
  <Template>Normal</Template>
  <Company>lodestar</Company>
  <Pages>4</Pages>
  <Words>2376</Words>
  <Characters>2733</Characters>
  <Lines>20</Lines>
  <Paragraphs>5</Paragraphs>
  <TotalTime>1</TotalTime>
  <ScaleCrop>false</ScaleCrop>
  <LinksUpToDate>false</LinksUpToDate>
  <CharactersWithSpaces>2895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2023-07-31T06:07:00Z</dcterms:created>
  <dc:creator>微软用户</dc:creator>
  <cp:lastModifiedBy>欣然</cp:lastModifiedBy>
  <cp:lastPrinted>2011-02-14T06:01:00Z</cp:lastPrinted>
  <dcterms:modified xsi:type="dcterms:W3CDTF">2023-08-15T06:24:19Z</dcterms:modified>
  <cp:revision>118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D14DF7BC230D40B19DE3B4EC7B14765B_13</vt:lpwstr>
  </property>
</Properties>
</file>