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Bdr>
          <w:bottom w:val="none" w:color="auto" w:sz="0" w:space="0"/>
        </w:pBdr>
        <w:rPr>
          <w:rFonts w:ascii="华文新魏" w:hAnsi="华文中宋" w:eastAsia="华文新魏"/>
          <w:b/>
          <w:bCs/>
          <w:color w:val="FF0000"/>
          <w:sz w:val="96"/>
          <w:szCs w:val="96"/>
        </w:rPr>
      </w:pPr>
      <w:bookmarkStart w:id="0" w:name="_Hlk145339026"/>
      <w:bookmarkEnd w:id="0"/>
      <w:r>
        <w:rPr>
          <w:rFonts w:hint="eastAsia" w:ascii="华文新魏" w:hAnsi="华文中宋" w:eastAsia="华文新魏"/>
          <w:b/>
          <w:bCs/>
          <w:color w:val="FF0000"/>
          <w:sz w:val="96"/>
          <w:szCs w:val="96"/>
        </w:rPr>
        <w:t>信息与动态</w:t>
      </w:r>
    </w:p>
    <w:p>
      <w:pPr>
        <w:pStyle w:val="3"/>
        <w:pBdr>
          <w:bottom w:val="none" w:color="auto" w:sz="0" w:space="0"/>
        </w:pBdr>
        <w:rPr>
          <w:color w:val="FF0000"/>
          <w:sz w:val="32"/>
          <w:szCs w:val="32"/>
        </w:rPr>
      </w:pPr>
      <w:r>
        <w:rPr>
          <w:rFonts w:hint="eastAsia"/>
          <w:color w:val="FF0000"/>
          <w:sz w:val="32"/>
          <w:szCs w:val="32"/>
        </w:rPr>
        <w:t>【2</w:t>
      </w:r>
      <w:r>
        <w:rPr>
          <w:color w:val="FF0000"/>
          <w:sz w:val="32"/>
          <w:szCs w:val="32"/>
        </w:rPr>
        <w:t>023</w:t>
      </w:r>
      <w:r>
        <w:rPr>
          <w:rFonts w:hint="eastAsia"/>
          <w:color w:val="FF0000"/>
          <w:sz w:val="32"/>
          <w:szCs w:val="32"/>
        </w:rPr>
        <w:t>第</w:t>
      </w:r>
      <w:r>
        <w:rPr>
          <w:color w:val="FF0000"/>
          <w:sz w:val="32"/>
          <w:szCs w:val="32"/>
        </w:rPr>
        <w:t>4</w:t>
      </w:r>
      <w:r>
        <w:rPr>
          <w:rFonts w:hint="eastAsia"/>
          <w:color w:val="FF0000"/>
          <w:sz w:val="32"/>
          <w:szCs w:val="32"/>
        </w:rPr>
        <w:t>期】</w:t>
      </w:r>
    </w:p>
    <w:p>
      <w:pPr>
        <w:pStyle w:val="3"/>
        <w:pBdr>
          <w:bottom w:val="none" w:color="auto" w:sz="0" w:space="0"/>
        </w:pBdr>
        <w:rPr>
          <w:sz w:val="36"/>
          <w:szCs w:val="36"/>
        </w:rPr>
      </w:pPr>
    </w:p>
    <w:p>
      <w:pPr>
        <w:pStyle w:val="3"/>
        <w:pBdr>
          <w:bottom w:val="none" w:color="auto" w:sz="0" w:space="0"/>
        </w:pBdr>
        <w:ind w:firstLine="280" w:firstLineChars="100"/>
        <w:jc w:val="both"/>
        <w:rPr>
          <w:rFonts w:ascii="华文中宋" w:hAnsi="华文中宋" w:eastAsia="华文中宋"/>
          <w:sz w:val="28"/>
          <w:szCs w:val="28"/>
        </w:rPr>
      </w:pPr>
      <w:r>
        <w:rPr>
          <w:rFonts w:hint="eastAsia" w:ascii="华文中宋" w:hAnsi="华文中宋" w:eastAsia="华文中宋"/>
          <w:sz w:val="28"/>
          <w:szCs w:val="28"/>
        </w:rPr>
        <w:t xml:space="preserve">宁波化工贸促会秘书处 </w:t>
      </w:r>
      <w:r>
        <w:rPr>
          <w:rFonts w:ascii="华文中宋" w:hAnsi="华文中宋" w:eastAsia="华文中宋"/>
          <w:sz w:val="28"/>
          <w:szCs w:val="28"/>
        </w:rPr>
        <w:t xml:space="preserve">                        2023</w:t>
      </w:r>
      <w:r>
        <w:rPr>
          <w:rFonts w:hint="eastAsia" w:ascii="华文中宋" w:hAnsi="华文中宋" w:eastAsia="华文中宋"/>
          <w:sz w:val="28"/>
          <w:szCs w:val="28"/>
        </w:rPr>
        <w:t>-</w:t>
      </w:r>
      <w:r>
        <w:rPr>
          <w:rFonts w:ascii="华文中宋" w:hAnsi="华文中宋" w:eastAsia="华文中宋"/>
          <w:sz w:val="28"/>
          <w:szCs w:val="28"/>
        </w:rPr>
        <w:t>12</w:t>
      </w:r>
      <w:r>
        <w:rPr>
          <w:rFonts w:hint="eastAsia" w:ascii="华文中宋" w:hAnsi="华文中宋" w:eastAsia="华文中宋"/>
          <w:sz w:val="28"/>
          <w:szCs w:val="28"/>
        </w:rPr>
        <w:t>-</w:t>
      </w:r>
      <w:r>
        <w:rPr>
          <w:rFonts w:ascii="华文中宋" w:hAnsi="华文中宋" w:eastAsia="华文中宋"/>
          <w:sz w:val="28"/>
          <w:szCs w:val="28"/>
        </w:rPr>
        <w:t xml:space="preserve">12     </w:t>
      </w:r>
    </w:p>
    <w:p>
      <w:pPr>
        <w:pStyle w:val="3"/>
        <w:pBdr>
          <w:bottom w:val="none" w:color="auto" w:sz="0" w:space="0"/>
        </w:pBdr>
        <w:jc w:val="both"/>
        <w:rPr>
          <w:sz w:val="32"/>
          <w:szCs w:val="32"/>
        </w:rPr>
      </w:pPr>
      <w:r>
        <w:rPr>
          <w:rFonts w:hint="eastAsia"/>
          <w:sz w:val="32"/>
          <w:szCs w:val="32"/>
        </w:rPr>
        <w:t>-------------------------------------------------------------------------------------</w:t>
      </w:r>
      <w:r>
        <w:rPr>
          <w:sz w:val="32"/>
          <w:szCs w:val="32"/>
        </w:rPr>
        <w:t xml:space="preserve"> </w:t>
      </w:r>
    </w:p>
    <w:p>
      <w:pPr>
        <w:pStyle w:val="10"/>
        <w:spacing w:line="800" w:lineRule="exact"/>
        <w:ind w:left="440" w:firstLine="0" w:firstLineChars="0"/>
        <w:rPr>
          <w:rFonts w:ascii="华文中宋" w:hAnsi="华文中宋" w:eastAsia="华文中宋" w:cs="Times New Roman"/>
          <w:sz w:val="36"/>
          <w:szCs w:val="36"/>
        </w:rPr>
      </w:pPr>
      <w:r>
        <w:rPr>
          <w:rFonts w:hint="eastAsia" w:cs="Times New Roman"/>
          <w:sz w:val="84"/>
          <w:szCs w:val="84"/>
        </w:rPr>
        <w:t xml:space="preserve"> </w:t>
      </w:r>
      <w:r>
        <w:rPr>
          <w:rFonts w:cs="Times New Roman"/>
          <w:sz w:val="84"/>
          <w:szCs w:val="84"/>
        </w:rPr>
        <w:t xml:space="preserve">       </w:t>
      </w:r>
      <w:r>
        <w:rPr>
          <w:rFonts w:hint="eastAsia" w:ascii="华文中宋" w:hAnsi="华文中宋" w:eastAsia="华文中宋" w:cs="Times New Roman"/>
          <w:sz w:val="36"/>
          <w:szCs w:val="36"/>
        </w:rPr>
        <w:t>本期要目</w:t>
      </w:r>
    </w:p>
    <w:p>
      <w:pPr>
        <w:pStyle w:val="10"/>
        <w:numPr>
          <w:ilvl w:val="0"/>
          <w:numId w:val="1"/>
        </w:numPr>
        <w:spacing w:line="360" w:lineRule="auto"/>
        <w:ind w:firstLineChars="0"/>
        <w:rPr>
          <w:rFonts w:ascii="楷体" w:hAnsi="楷体" w:eastAsia="楷体" w:cs="Times New Roman"/>
          <w:sz w:val="28"/>
          <w:szCs w:val="28"/>
        </w:rPr>
      </w:pPr>
      <w:r>
        <w:rPr>
          <w:rFonts w:hint="eastAsia" w:ascii="华文中宋" w:hAnsi="华文中宋" w:eastAsia="华文中宋" w:cs="Times New Roman"/>
          <w:sz w:val="28"/>
          <w:szCs w:val="28"/>
        </w:rPr>
        <w:t>【政策</w:t>
      </w:r>
      <w:r>
        <w:rPr>
          <w:rFonts w:hint="eastAsia" w:ascii="华文中宋" w:hAnsi="华文中宋" w:eastAsia="华文中宋" w:cs="Times New Roman"/>
          <w:sz w:val="28"/>
          <w:szCs w:val="28"/>
          <w:lang w:val="en-US" w:eastAsia="zh-CN"/>
        </w:rPr>
        <w:t>解读</w:t>
      </w:r>
      <w:r>
        <w:rPr>
          <w:rFonts w:hint="eastAsia" w:ascii="华文中宋" w:hAnsi="华文中宋" w:eastAsia="华文中宋" w:cs="Times New Roman"/>
          <w:sz w:val="28"/>
          <w:szCs w:val="28"/>
        </w:rPr>
        <w:t>】</w:t>
      </w:r>
      <w:bookmarkStart w:id="1" w:name="_Hlk141707288"/>
    </w:p>
    <w:p>
      <w:pPr>
        <w:pStyle w:val="10"/>
        <w:spacing w:line="360" w:lineRule="auto"/>
        <w:ind w:left="880" w:firstLine="0" w:firstLineChars="0"/>
        <w:rPr>
          <w:rFonts w:ascii="楷体" w:hAnsi="楷体" w:eastAsia="楷体" w:cs="Times New Roman"/>
          <w:sz w:val="28"/>
          <w:szCs w:val="28"/>
        </w:rPr>
      </w:pPr>
      <w:r>
        <w:rPr>
          <w:rFonts w:hint="eastAsia" w:ascii="楷体" w:hAnsi="楷体" w:eastAsia="楷体" w:cs="Times New Roman"/>
          <w:sz w:val="28"/>
          <w:szCs w:val="28"/>
        </w:rPr>
        <w:t>1、政治局会议传递五大积极信号</w:t>
      </w:r>
    </w:p>
    <w:bookmarkEnd w:id="1"/>
    <w:p>
      <w:pPr>
        <w:pStyle w:val="10"/>
        <w:numPr>
          <w:ilvl w:val="0"/>
          <w:numId w:val="1"/>
        </w:numPr>
        <w:spacing w:line="360" w:lineRule="auto"/>
        <w:ind w:firstLineChars="0"/>
        <w:rPr>
          <w:rFonts w:ascii="华文中宋" w:hAnsi="华文中宋" w:eastAsia="华文中宋" w:cs="Times New Roman"/>
          <w:sz w:val="28"/>
          <w:szCs w:val="28"/>
        </w:rPr>
      </w:pPr>
      <w:r>
        <w:rPr>
          <w:rFonts w:hint="eastAsia" w:ascii="楷体" w:hAnsi="楷体" w:eastAsia="楷体" w:cs="Times New Roman"/>
          <w:sz w:val="28"/>
          <w:szCs w:val="28"/>
        </w:rPr>
        <w:t>【</w:t>
      </w:r>
      <w:r>
        <w:rPr>
          <w:rFonts w:hint="eastAsia" w:ascii="华文中宋" w:hAnsi="华文中宋" w:eastAsia="华文中宋" w:cs="Times New Roman"/>
          <w:sz w:val="28"/>
          <w:szCs w:val="28"/>
        </w:rPr>
        <w:t>工作动态】</w:t>
      </w:r>
    </w:p>
    <w:p>
      <w:pPr>
        <w:snapToGrid w:val="0"/>
        <w:spacing w:line="360" w:lineRule="auto"/>
        <w:ind w:firstLine="840" w:firstLineChars="300"/>
        <w:rPr>
          <w:rFonts w:ascii="楷体" w:hAnsi="楷体" w:eastAsia="楷体" w:cs="Times New Roman"/>
          <w:sz w:val="28"/>
          <w:szCs w:val="28"/>
        </w:rPr>
      </w:pPr>
      <w:r>
        <w:rPr>
          <w:rFonts w:hint="eastAsia" w:ascii="楷体" w:hAnsi="楷体" w:eastAsia="楷体" w:cs="Times New Roman"/>
          <w:sz w:val="28"/>
          <w:szCs w:val="28"/>
        </w:rPr>
        <w:t>1、秘书处</w:t>
      </w:r>
      <w:r>
        <w:rPr>
          <w:rFonts w:ascii="楷体" w:hAnsi="楷体" w:eastAsia="楷体" w:cs="Times New Roman"/>
          <w:sz w:val="28"/>
          <w:szCs w:val="28"/>
        </w:rPr>
        <w:t>10</w:t>
      </w:r>
      <w:r>
        <w:rPr>
          <w:rFonts w:hint="eastAsia" w:ascii="楷体" w:hAnsi="楷体" w:eastAsia="楷体" w:cs="Times New Roman"/>
          <w:sz w:val="28"/>
          <w:szCs w:val="28"/>
        </w:rPr>
        <w:t>-</w:t>
      </w:r>
      <w:r>
        <w:rPr>
          <w:rFonts w:ascii="楷体" w:hAnsi="楷体" w:eastAsia="楷体" w:cs="Times New Roman"/>
          <w:sz w:val="28"/>
          <w:szCs w:val="28"/>
        </w:rPr>
        <w:t>11</w:t>
      </w:r>
      <w:r>
        <w:rPr>
          <w:rFonts w:hint="eastAsia" w:ascii="楷体" w:hAnsi="楷体" w:eastAsia="楷体" w:cs="Times New Roman"/>
          <w:sz w:val="28"/>
          <w:szCs w:val="28"/>
        </w:rPr>
        <w:t>月份工作简要回顾</w:t>
      </w:r>
    </w:p>
    <w:p>
      <w:pPr>
        <w:snapToGrid w:val="0"/>
        <w:spacing w:line="360" w:lineRule="auto"/>
        <w:ind w:firstLine="840" w:firstLineChars="300"/>
        <w:rPr>
          <w:rFonts w:ascii="楷体" w:hAnsi="楷体" w:eastAsia="楷体" w:cs="Times New Roman"/>
          <w:sz w:val="28"/>
          <w:szCs w:val="28"/>
        </w:rPr>
      </w:pPr>
      <w:r>
        <w:rPr>
          <w:rFonts w:hint="eastAsia" w:ascii="楷体" w:hAnsi="楷体" w:eastAsia="楷体" w:cs="Times New Roman"/>
          <w:sz w:val="28"/>
          <w:szCs w:val="28"/>
        </w:rPr>
        <w:t>2、我成功承办2</w:t>
      </w:r>
      <w:r>
        <w:rPr>
          <w:rFonts w:ascii="楷体" w:hAnsi="楷体" w:eastAsia="楷体" w:cs="Times New Roman"/>
          <w:sz w:val="28"/>
          <w:szCs w:val="28"/>
        </w:rPr>
        <w:t>023</w:t>
      </w:r>
      <w:r>
        <w:rPr>
          <w:rFonts w:hint="eastAsia" w:ascii="楷体" w:hAnsi="楷体" w:eastAsia="楷体" w:cs="Times New Roman"/>
          <w:sz w:val="28"/>
          <w:szCs w:val="28"/>
        </w:rPr>
        <w:t>涂料行业全球产业链合作发展高端交流会</w:t>
      </w:r>
    </w:p>
    <w:p>
      <w:pPr>
        <w:pStyle w:val="10"/>
        <w:numPr>
          <w:ilvl w:val="0"/>
          <w:numId w:val="1"/>
        </w:numPr>
        <w:snapToGrid w:val="0"/>
        <w:spacing w:line="360" w:lineRule="auto"/>
        <w:ind w:firstLineChars="0"/>
        <w:rPr>
          <w:rFonts w:ascii="华文中宋" w:hAnsi="华文中宋" w:eastAsia="华文中宋" w:cs="Times New Roman"/>
          <w:sz w:val="28"/>
          <w:szCs w:val="28"/>
        </w:rPr>
      </w:pPr>
      <w:r>
        <w:rPr>
          <w:rFonts w:hint="eastAsia" w:ascii="华文中宋" w:hAnsi="华文中宋" w:eastAsia="华文中宋" w:cs="Times New Roman"/>
          <w:sz w:val="28"/>
          <w:szCs w:val="28"/>
        </w:rPr>
        <w:t>【会员风采】</w:t>
      </w:r>
    </w:p>
    <w:p>
      <w:pPr>
        <w:snapToGrid w:val="0"/>
        <w:spacing w:line="360" w:lineRule="auto"/>
        <w:ind w:firstLine="840" w:firstLineChars="300"/>
        <w:rPr>
          <w:rFonts w:ascii="楷体" w:hAnsi="楷体" w:eastAsia="楷体" w:cs="Times New Roman"/>
          <w:sz w:val="28"/>
          <w:szCs w:val="28"/>
        </w:rPr>
      </w:pPr>
      <w:r>
        <w:rPr>
          <w:rFonts w:ascii="楷体" w:hAnsi="楷体" w:eastAsia="楷体" w:cs="Times New Roman"/>
          <w:sz w:val="28"/>
          <w:szCs w:val="28"/>
        </w:rPr>
        <w:t>1</w:t>
      </w:r>
      <w:r>
        <w:rPr>
          <w:rFonts w:hint="eastAsia" w:ascii="楷体" w:hAnsi="楷体" w:eastAsia="楷体" w:cs="Times New Roman"/>
          <w:sz w:val="28"/>
          <w:szCs w:val="28"/>
        </w:rPr>
        <w:t>、镇洋发展获上市公司“金牛奖-金信披奖”殊荣</w:t>
      </w:r>
    </w:p>
    <w:p>
      <w:pPr>
        <w:pStyle w:val="10"/>
        <w:snapToGrid w:val="0"/>
        <w:spacing w:line="360" w:lineRule="auto"/>
        <w:ind w:left="880" w:firstLine="0" w:firstLineChars="0"/>
        <w:rPr>
          <w:rFonts w:ascii="楷体" w:hAnsi="楷体" w:eastAsia="楷体" w:cs="Times New Roman"/>
          <w:sz w:val="28"/>
          <w:szCs w:val="28"/>
        </w:rPr>
      </w:pPr>
      <w:r>
        <w:rPr>
          <w:rFonts w:hint="eastAsia" w:ascii="楷体" w:hAnsi="楷体" w:eastAsia="楷体" w:cs="Times New Roman"/>
          <w:sz w:val="28"/>
          <w:szCs w:val="28"/>
        </w:rPr>
        <w:t>2、三江益农参加第3</w:t>
      </w:r>
      <w:r>
        <w:rPr>
          <w:rFonts w:ascii="楷体" w:hAnsi="楷体" w:eastAsia="楷体" w:cs="Times New Roman"/>
          <w:sz w:val="28"/>
          <w:szCs w:val="28"/>
        </w:rPr>
        <w:t>7</w:t>
      </w:r>
      <w:r>
        <w:rPr>
          <w:rFonts w:hint="eastAsia" w:ascii="楷体" w:hAnsi="楷体" w:eastAsia="楷体" w:cs="Times New Roman"/>
          <w:sz w:val="28"/>
          <w:szCs w:val="28"/>
        </w:rPr>
        <w:t>届中国植保双交会</w:t>
      </w:r>
    </w:p>
    <w:p>
      <w:pPr>
        <w:snapToGrid w:val="0"/>
        <w:spacing w:line="360" w:lineRule="auto"/>
        <w:ind w:firstLine="420" w:firstLineChars="200"/>
        <w:rPr>
          <w:sz w:val="32"/>
          <w:szCs w:val="32"/>
        </w:rPr>
      </w:pPr>
      <w:r>
        <w:rPr>
          <w:rFonts w:hint="eastAsia"/>
        </w:rPr>
        <mc:AlternateContent>
          <mc:Choice Requires="wps">
            <w:drawing>
              <wp:anchor distT="0" distB="0" distL="114300" distR="114300" simplePos="0" relativeHeight="251659264" behindDoc="0" locked="0" layoutInCell="1" allowOverlap="1">
                <wp:simplePos x="0" y="0"/>
                <wp:positionH relativeFrom="margin">
                  <wp:posOffset>219075</wp:posOffset>
                </wp:positionH>
                <wp:positionV relativeFrom="paragraph">
                  <wp:posOffset>243840</wp:posOffset>
                </wp:positionV>
                <wp:extent cx="1028700" cy="476250"/>
                <wp:effectExtent l="57150" t="38100" r="76200" b="95250"/>
                <wp:wrapNone/>
                <wp:docPr id="1334899880" name="流程图: 可选过程 1"/>
                <wp:cNvGraphicFramePr/>
                <a:graphic xmlns:a="http://schemas.openxmlformats.org/drawingml/2006/main">
                  <a:graphicData uri="http://schemas.microsoft.com/office/word/2010/wordprocessingShape">
                    <wps:wsp>
                      <wps:cNvSpPr/>
                      <wps:spPr>
                        <a:xfrm>
                          <a:off x="0" y="0"/>
                          <a:ext cx="1028700" cy="476250"/>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pPr>
                              <w:jc w:val="center"/>
                              <w:rPr>
                                <w:rFonts w:ascii="华文新魏" w:eastAsia="华文新魏"/>
                                <w:sz w:val="30"/>
                                <w:szCs w:val="30"/>
                              </w:rPr>
                            </w:pPr>
                            <w:r>
                              <w:rPr>
                                <w:rFonts w:hint="eastAsia" w:ascii="华文新魏" w:eastAsia="华文新魏"/>
                                <w:sz w:val="30"/>
                                <w:szCs w:val="30"/>
                              </w:rPr>
                              <w:t>经济分析</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1" o:spid="_x0000_s1026" o:spt="176" type="#_x0000_t176" style="position:absolute;left:0pt;margin-left:17.25pt;margin-top:19.2pt;height:37.5pt;width:81pt;mso-position-horizontal-relative:margin;z-index:251659264;v-text-anchor:middle;mso-width-relative:page;mso-height-relative:page;" fillcolor="#BCBCBC [3216]" filled="t" stroked="t" coordsize="21600,21600" o:gfxdata="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jc w:val="center"/>
                        <w:rPr>
                          <w:rFonts w:ascii="华文新魏" w:eastAsia="华文新魏"/>
                          <w:sz w:val="30"/>
                          <w:szCs w:val="30"/>
                        </w:rPr>
                      </w:pPr>
                      <w:r>
                        <w:rPr>
                          <w:rFonts w:hint="eastAsia" w:ascii="华文新魏" w:eastAsia="华文新魏"/>
                          <w:sz w:val="30"/>
                          <w:szCs w:val="30"/>
                        </w:rPr>
                        <w:t>经济分析</w:t>
                      </w:r>
                    </w:p>
                  </w:txbxContent>
                </v:textbox>
              </v:shape>
            </w:pict>
          </mc:Fallback>
        </mc:AlternateContent>
      </w:r>
      <w:r>
        <w:rPr>
          <w:rFonts w:hint="eastAsia"/>
          <w:sz w:val="32"/>
          <w:szCs w:val="32"/>
        </w:rPr>
        <w:t>------------------------------------------------------------------------------</w:t>
      </w:r>
      <w:r>
        <w:rPr>
          <w:sz w:val="32"/>
          <w:szCs w:val="32"/>
        </w:rPr>
        <w:t xml:space="preserve"> </w:t>
      </w:r>
    </w:p>
    <w:p>
      <w:pPr>
        <w:pStyle w:val="10"/>
        <w:snapToGrid w:val="0"/>
        <w:spacing w:line="360" w:lineRule="auto"/>
        <w:ind w:left="2761" w:leftChars="1200" w:hanging="241" w:hangingChars="100"/>
        <w:rPr>
          <w:rFonts w:ascii="宋体" w:hAnsi="宋体" w:cs="Arial"/>
          <w:b/>
          <w:bCs/>
          <w:color w:val="000000"/>
          <w:kern w:val="0"/>
          <w:sz w:val="24"/>
          <w:szCs w:val="24"/>
        </w:rPr>
      </w:pPr>
      <w:r>
        <w:rPr>
          <w:rFonts w:hint="eastAsia" w:ascii="宋体" w:hAnsi="宋体" w:cs="宋体"/>
          <w:b/>
          <w:bCs/>
          <w:color w:val="222222"/>
          <w:kern w:val="0"/>
          <w:sz w:val="24"/>
          <w:szCs w:val="24"/>
        </w:rPr>
        <w:t>加大宏观调控力度 ----</w:t>
      </w:r>
      <w:r>
        <w:rPr>
          <w:rFonts w:ascii="宋体" w:hAnsi="宋体" w:cs="宋体"/>
          <w:b/>
          <w:bCs/>
          <w:color w:val="222222"/>
          <w:kern w:val="0"/>
          <w:sz w:val="24"/>
          <w:szCs w:val="24"/>
        </w:rPr>
        <w:t xml:space="preserve"> </w:t>
      </w:r>
      <w:r>
        <w:rPr>
          <w:rFonts w:hint="eastAsia" w:ascii="宋体" w:hAnsi="宋体" w:cs="宋体"/>
          <w:b/>
          <w:bCs/>
          <w:color w:val="222222"/>
          <w:kern w:val="0"/>
          <w:sz w:val="24"/>
          <w:szCs w:val="24"/>
        </w:rPr>
        <w:t>政治局会议传递五大积极信号</w:t>
      </w:r>
    </w:p>
    <w:p>
      <w:pPr>
        <w:widowControl/>
        <w:shd w:val="clear" w:color="auto" w:fill="FFFFFF"/>
        <w:spacing w:line="552" w:lineRule="atLeast"/>
        <w:ind w:firstLine="420" w:firstLineChars="200"/>
        <w:jc w:val="left"/>
        <w:rPr>
          <w:rFonts w:ascii="宋体" w:hAnsi="宋体" w:cs="宋体"/>
          <w:color w:val="222222"/>
          <w:kern w:val="0"/>
        </w:rPr>
      </w:pPr>
      <w:r>
        <w:rPr>
          <w:rFonts w:ascii="宋体" w:hAnsi="宋体" w:cs="宋体"/>
          <w:color w:val="222222"/>
          <w:kern w:val="0"/>
        </w:rPr>
        <w:t>12月8日，中共中央政治局召开会议，分析研究2024年经济工作。</w:t>
      </w:r>
      <w:r>
        <w:rPr>
          <w:rFonts w:hint="eastAsia" w:ascii="宋体" w:hAnsi="宋体" w:cs="宋体"/>
          <w:color w:val="222222"/>
          <w:kern w:val="0"/>
        </w:rPr>
        <w:t>会议强调“加大宏观调控力度”；经济目标“巩固和增强经济回升向好态势”，“切实增强经济活力、防范化解风险、改善社会预期”。传递五大积极信号：</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第一，总基调，“明年要坚持稳中求进、以进促稳、先立后破”。在发展中化债、改革。</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第二，政策取向，“积极的财政政策要适度加力、提质增效，稳健的货币政策要灵活适度、精准有效”。财政发力是明年重点，但也提到“适度”。</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第三，扩内需，“要着力扩大国内需求，形成消费和投资相互促进的良性循环”。</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第四，防风险，“要持续有效防范化解重点领域风险，坚决守住不发生系统性风险的底线。”</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第五，产业升级，“要以科技创新引领现代化产业体系建设，提升产业链供应链韧性和安全水平”。</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1、 定调2024年：先立后破，加大宏观调控力度</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会议提出，</w:t>
      </w:r>
      <w:r>
        <w:rPr>
          <w:rFonts w:ascii="宋体" w:hAnsi="宋体" w:cs="宋体"/>
          <w:color w:val="222222"/>
          <w:kern w:val="0"/>
        </w:rPr>
        <w:t xml:space="preserve"> </w:t>
      </w:r>
      <w:r>
        <w:rPr>
          <w:rFonts w:hint="eastAsia" w:ascii="宋体" w:hAnsi="宋体" w:cs="宋体"/>
          <w:color w:val="222222"/>
          <w:kern w:val="0"/>
        </w:rPr>
        <w:t>“明年要坚持稳中求进、以进促稳、先立后破，强化宏观政策逆周期和跨周期调节”。</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与“先立后破”对应的是“先破后立”、“边破边立”。现在确定的先立后破，是非常好的一个提法，因为先破后立、边破边立的代价比较大，过程比较阵痛。</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先立后破，一是总量上，中国作为发展中国家，还需要一定的经济增速，要把发展放在首要任务，在发展中解决问题，如果发展停滞了，不仅老的问题解决不了，新的问题还会暴露出来，所以要“全力拼经济”；二是结构上，传统行业不能一破了之，新旧动能转换有个过程，循序渐进，同时用先进技术提升传统行业。</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巩固和增强经济回升向好态势”，意味着政策将推动2024年经济增长力争好于今年。2023年1-3季度GDP实际同比5.2%，两年复合增速4.1%，2024年经济目标可能在5%左右，平稳恢复到潜在增速水平，可以起到提振信心、改善社会预期的作用。</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切实增强经济活力、防范化解风险、改善社会预期”，提出了2024年三大重点工作方向。2023年是三年新冠疫情后经济恢复发展的一年，取得积极成效但也面临一些挑战，总需求仍然不足，房地产市场仍低迷，外需下滑拖累出口，民营经济信心有待提振。2024年将在提振民营经济信心、促进房地产软着陆、改善外部经贸关系扩大出口等方向发力。</w:t>
      </w:r>
    </w:p>
    <w:p>
      <w:pPr>
        <w:widowControl/>
        <w:shd w:val="clear" w:color="auto" w:fill="FFFFFF"/>
        <w:spacing w:line="552" w:lineRule="atLeast"/>
        <w:jc w:val="left"/>
        <w:rPr>
          <w:rFonts w:ascii="宋体" w:hAnsi="宋体" w:cs="宋体"/>
          <w:color w:val="222222"/>
          <w:kern w:val="0"/>
        </w:rPr>
      </w:pPr>
      <w:r>
        <w:rPr>
          <w:rFonts w:hint="eastAsia" w:ascii="宋体" w:hAnsi="宋体" w:cs="宋体"/>
          <w:color w:val="222222"/>
          <w:kern w:val="0"/>
        </w:rPr>
        <w:t>“增强宏观政策取向一致性，加强经济宣传和舆论引导”，意味着财政、货币、房地产、资本市场等方面的政策要加强配合，形成合力。</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展望2024年，有四点值得期待，一是出口从低迷转向温和回暖，主因美国库存周期见底和外需恢复。二是基建将成为托底经济的重要抓手，主因财政加码地方政府化债，为形成实物工作量创造条件。三是房地产投资迎来新动能，“三大工程”建设接力，扭转房地产投资疲软局面。四是政策转向全面友好宽松。</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我们自2022年以来倡导“全力拼经济”，中国经济潜力大，韧性强，如果采取实质有力的措施，全力拼经济，一定能提振各方信心，步入繁荣复苏通道。</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2、政策取向：积极的财政政策适度加力，稳健的货币政策灵活适度</w:t>
      </w:r>
    </w:p>
    <w:p>
      <w:pPr>
        <w:widowControl/>
        <w:shd w:val="clear" w:color="auto" w:fill="FFFFFF"/>
        <w:spacing w:line="552" w:lineRule="atLeast"/>
        <w:jc w:val="left"/>
        <w:rPr>
          <w:rFonts w:ascii="宋体" w:hAnsi="宋体" w:cs="宋体"/>
          <w:color w:val="222222"/>
          <w:kern w:val="0"/>
        </w:rPr>
      </w:pPr>
      <w:r>
        <w:rPr>
          <w:rFonts w:hint="eastAsia" w:ascii="宋体" w:hAnsi="宋体" w:cs="宋体"/>
          <w:color w:val="222222"/>
          <w:kern w:val="0"/>
        </w:rPr>
        <w:t>会议提出，“积极的财政政策要适度加力、提质增效，稳健的货币政策要灵活适度、精准有效”。</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未来财政政策可继续在消费、投资、就业及化债方面加力，但仍注意适度。如推行减税政策，提高个人和企业可支配收入；鼓励居民消费；继续加大基建投资，包括交通、水利、能源等领域；加大政府采购力度，购买本地产品及服务；加大对科技创新的支持，促进科研成果落地；扩大社会保障支出，提升社会稳定性；促进中小企业融资，创造更多就业机会；通过一揽子化债方案来防风险。</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货币政策方面，配合财政政策，保持流动性合理充裕，以应对MLF到期、政府债发行、年初信贷开门红、跨年取现等造成的流动性波动。</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3、扩大内需：形成消费和投资相互促进的良性循环</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会议提出，“要着力扩大国内需求，形成消费和投资相互促进的良性循环。”</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现阶段国内消费仍处于温和复苏状态，应持续扩大内需。《扩大内需战略规划纲要（2022－2035年）》提到，2023年将延续和优化新能源汽车车辆购置税减免政策，预计减税5200亿元；7月发改委发布的《关于恢复和扩大消费的措施》文件中提到要稳定大宗消费、扩大服务消费、促进农村消费、拓展新型消费；随后各地方政府纷纷跟进，出台一系列措施，包括促进汽车和电子产品消费，推动汽车限购等政策调整，加快推进汽车报废更新，鼓励汽车金融创新，支持电子产品更新换代，促进5G手机、智能手表消费等。</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当前可考虑推出以新基建、新能源、人工智能等引领的大规模基建计划，扩大内需，提振经济。扩大内需的措施还可考虑：对低收入家庭和养老育儿负担重家庭定向发放消费券，提高人们的购买力，刺激零售和服务业；提供税收减免、降低社会保险费率；降低居民个人所得税、增值税等税率，减轻居民税负，提高可支配收入；降低企业社会保险费率，鼓励企业增加招聘和提高员工工资水平；提高社会救助标准，加大对低收入群体的社会救助力度，提高社保、医疗等方面的补贴标准，确保基本生活需求的保障，增加居民消费信心。</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4、产业升级：以科技创新引领现代化产业体系建设</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政治局会议提到，“要以科技创新引领现代化产业体系建设，提升产业链供应链韧性和安全水平。”</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数字化和智能技术的应用使得中国产业实现了巨大的生产效率提升，是构建现代化产业体系的关键。同时，数字技术的应用促使了产业的数字化转型，推动了信息技术与传统产业的深度融合。</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推动产业绿色化有助于减少环境污染，提高资源利用效率。应通过多方面措施努力达成这一目标，包括多元化供应链来源、推动企业数字化转型、强化法规和政策支持、制定应急响应计划、加强人才储备和培养等。</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5、防化风险：优化房地产调控，一揽子地方化债</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会议提出，“要持续有效防范化解重点领域风险，坚决守住不发生系统性风险的底线。”</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非常之时，需要非常之策。房地产是第一大支柱产业，房地产稳，则经济稳，就业稳，金融稳。有三招可救当前地产;</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一是可考虑组建住房银行，收购开发商的土地和商品房库存，用于租赁房保障房。</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二是当前是全面取消限购，回归市场化的良机。</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三是大幅降低存量房贷利率，之前降低了首套，社会反响很好，二套的也应该降低，这是善政。</w:t>
      </w:r>
    </w:p>
    <w:p>
      <w:pPr>
        <w:widowControl/>
        <w:shd w:val="clear" w:color="auto" w:fill="FFFFFF"/>
        <w:spacing w:line="552" w:lineRule="atLeast"/>
        <w:ind w:firstLine="420" w:firstLineChars="200"/>
        <w:jc w:val="left"/>
        <w:rPr>
          <w:rFonts w:ascii="宋体" w:hAnsi="宋体" w:cs="宋体"/>
          <w:color w:val="222222"/>
          <w:kern w:val="0"/>
        </w:rPr>
      </w:pPr>
      <w:r>
        <w:rPr>
          <w:rFonts w:hint="eastAsia" w:ascii="宋体" w:hAnsi="宋体" w:cs="宋体"/>
          <w:color w:val="222222"/>
          <w:kern w:val="0"/>
        </w:rPr>
        <w:t>我们提出了行业分析框架：“房地产长期看人口、中期看土地、短期看金融”。如果采取长短相结合措施，有望促进房地产软着陆，避免硬着陆，为中国经济复苏和就业贡献力量。</w:t>
      </w:r>
    </w:p>
    <w:p/>
    <w:p>
      <w:pPr>
        <w:pStyle w:val="3"/>
        <w:pBdr>
          <w:bottom w:val="none" w:color="auto" w:sz="0" w:space="0"/>
        </w:pBdr>
        <w:ind w:firstLine="3000" w:firstLineChars="1000"/>
        <w:jc w:val="both"/>
        <w:rPr>
          <w:rFonts w:ascii="华文新魏" w:eastAsia="华文新魏"/>
          <w:sz w:val="30"/>
          <w:szCs w:val="30"/>
        </w:rPr>
      </w:pPr>
      <w:r>
        <w:rPr>
          <w:rFonts w:hint="eastAsia" w:ascii="华文新魏" w:eastAsia="华文新魏"/>
          <w:sz w:val="30"/>
          <w:szCs w:val="30"/>
        </w:rPr>
        <mc:AlternateContent>
          <mc:Choice Requires="wps">
            <w:drawing>
              <wp:anchor distT="0" distB="0" distL="114300" distR="114300" simplePos="0" relativeHeight="251660288" behindDoc="0" locked="0" layoutInCell="1" allowOverlap="1">
                <wp:simplePos x="0" y="0"/>
                <wp:positionH relativeFrom="margin">
                  <wp:posOffset>223520</wp:posOffset>
                </wp:positionH>
                <wp:positionV relativeFrom="paragraph">
                  <wp:posOffset>46355</wp:posOffset>
                </wp:positionV>
                <wp:extent cx="1019175" cy="542925"/>
                <wp:effectExtent l="57150" t="38100" r="85725" b="104775"/>
                <wp:wrapNone/>
                <wp:docPr id="1671570887" name="矩形: 圆角 2"/>
                <wp:cNvGraphicFramePr/>
                <a:graphic xmlns:a="http://schemas.openxmlformats.org/drawingml/2006/main">
                  <a:graphicData uri="http://schemas.microsoft.com/office/word/2010/wordprocessingShape">
                    <wps:wsp>
                      <wps:cNvSpPr/>
                      <wps:spPr>
                        <a:xfrm flipH="1">
                          <a:off x="0" y="0"/>
                          <a:ext cx="1019175" cy="542925"/>
                        </a:xfrm>
                        <a:prstGeom prst="roundRect">
                          <a:avLst/>
                        </a:prstGeom>
                      </wps:spPr>
                      <wps:style>
                        <a:lnRef idx="1">
                          <a:schemeClr val="dk1"/>
                        </a:lnRef>
                        <a:fillRef idx="2">
                          <a:schemeClr val="dk1"/>
                        </a:fillRef>
                        <a:effectRef idx="1">
                          <a:schemeClr val="dk1"/>
                        </a:effectRef>
                        <a:fontRef idx="minor">
                          <a:schemeClr val="dk1"/>
                        </a:fontRef>
                      </wps:style>
                      <wps:txbx>
                        <w:txbxContent>
                          <w:p>
                            <w:pPr>
                              <w:rPr>
                                <w:rFonts w:ascii="华文新魏" w:hAnsi="华文中宋" w:eastAsia="华文新魏"/>
                                <w:sz w:val="30"/>
                                <w:szCs w:val="30"/>
                              </w:rPr>
                            </w:pPr>
                            <w:r>
                              <w:rPr>
                                <w:rFonts w:hint="eastAsia" w:ascii="华文新魏" w:hAnsi="华文中宋" w:eastAsia="华文新魏"/>
                                <w:sz w:val="30"/>
                                <w:szCs w:val="30"/>
                              </w:rPr>
                              <w:t>工作动态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 o:spid="_x0000_s1026" o:spt="2" style="position:absolute;left:0pt;flip:x;margin-left:17.6pt;margin-top:3.65pt;height:42.75pt;width:80.25pt;mso-position-horizontal-relative:margin;z-index:251660288;v-text-anchor:middle;mso-width-relative:page;mso-height-relative:page;" fillcolor="#BCBCBC [3216]" filled="t" stroked="t" coordsize="21600,21600" arcsize="0.166666666666667" o:gfxdata="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rPr>
                          <w:rFonts w:ascii="华文新魏" w:hAnsi="华文中宋" w:eastAsia="华文新魏"/>
                          <w:sz w:val="30"/>
                          <w:szCs w:val="30"/>
                        </w:rPr>
                      </w:pPr>
                      <w:r>
                        <w:rPr>
                          <w:rFonts w:hint="eastAsia" w:ascii="华文新魏" w:hAnsi="华文中宋" w:eastAsia="华文新魏"/>
                          <w:sz w:val="30"/>
                          <w:szCs w:val="30"/>
                        </w:rPr>
                        <w:t>工作动态</w:t>
                      </w:r>
                    </w:p>
                  </w:txbxContent>
                </v:textbox>
              </v:roundrect>
            </w:pict>
          </mc:Fallback>
        </mc:AlternateContent>
      </w:r>
      <w:r>
        <w:rPr>
          <w:rFonts w:ascii="华文新魏" w:eastAsia="华文新魏"/>
          <w:sz w:val="30"/>
          <w:szCs w:val="30"/>
        </w:rPr>
        <w:tab/>
      </w:r>
      <w:r>
        <w:rPr>
          <w:rFonts w:ascii="华文新魏" w:eastAsia="华文新魏"/>
          <w:sz w:val="30"/>
          <w:szCs w:val="30"/>
        </w:rPr>
        <w:t xml:space="preserve">         </w:t>
      </w:r>
    </w:p>
    <w:p>
      <w:pPr>
        <w:pStyle w:val="3"/>
        <w:pBdr>
          <w:bottom w:val="none" w:color="auto" w:sz="0" w:space="0"/>
        </w:pBdr>
        <w:ind w:firstLine="2891" w:firstLineChars="1200"/>
        <w:jc w:val="both"/>
        <w:rPr>
          <w:rFonts w:ascii="华文新魏" w:eastAsia="华文新魏"/>
          <w:sz w:val="30"/>
          <w:szCs w:val="30"/>
        </w:rPr>
      </w:pPr>
      <w:r>
        <w:rPr>
          <w:rFonts w:hint="eastAsia" w:ascii="宋体" w:hAnsi="宋体"/>
          <w:b/>
          <w:bCs/>
          <w:sz w:val="24"/>
          <w:szCs w:val="24"/>
        </w:rPr>
        <w:t>秘书处1</w:t>
      </w:r>
      <w:r>
        <w:rPr>
          <w:rFonts w:ascii="宋体" w:hAnsi="宋体"/>
          <w:b/>
          <w:bCs/>
          <w:sz w:val="24"/>
          <w:szCs w:val="24"/>
        </w:rPr>
        <w:t>0</w:t>
      </w:r>
      <w:r>
        <w:rPr>
          <w:rFonts w:hint="eastAsia" w:ascii="宋体" w:hAnsi="宋体"/>
          <w:b/>
          <w:bCs/>
          <w:sz w:val="24"/>
          <w:szCs w:val="24"/>
        </w:rPr>
        <w:t>-</w:t>
      </w:r>
      <w:r>
        <w:rPr>
          <w:rFonts w:ascii="宋体" w:hAnsi="宋体"/>
          <w:b/>
          <w:bCs/>
          <w:sz w:val="24"/>
          <w:szCs w:val="24"/>
        </w:rPr>
        <w:t>11</w:t>
      </w:r>
      <w:r>
        <w:rPr>
          <w:rFonts w:hint="eastAsia" w:ascii="宋体" w:hAnsi="宋体"/>
          <w:b/>
          <w:bCs/>
          <w:sz w:val="24"/>
          <w:szCs w:val="24"/>
        </w:rPr>
        <w:t>月份工作简要回顾</w:t>
      </w:r>
    </w:p>
    <w:p>
      <w:pPr>
        <w:ind w:firstLine="420" w:firstLineChars="200"/>
        <w:rPr>
          <w:rFonts w:ascii="宋体" w:hAnsi="宋体" w:cs="华文仿宋"/>
        </w:rPr>
      </w:pPr>
    </w:p>
    <w:p>
      <w:pPr>
        <w:spacing w:line="360" w:lineRule="auto"/>
        <w:ind w:firstLine="420" w:firstLineChars="200"/>
        <w:rPr>
          <w:rFonts w:hint="eastAsia" w:ascii="宋体" w:hAnsi="宋体"/>
        </w:rPr>
      </w:pPr>
      <w:r>
        <w:rPr>
          <w:rFonts w:hint="eastAsia" w:ascii="宋体" w:hAnsi="宋体"/>
        </w:rPr>
        <w:t>1</w:t>
      </w:r>
      <w:r>
        <w:rPr>
          <w:rFonts w:ascii="宋体" w:hAnsi="宋体"/>
        </w:rPr>
        <w:t>0</w:t>
      </w:r>
      <w:r>
        <w:rPr>
          <w:rFonts w:hint="eastAsia" w:ascii="宋体" w:hAnsi="宋体"/>
        </w:rPr>
        <w:t>月上旬开始，秘书处对宁波化工贸促会网站运行过程中出现的技术故障进行修复、同时进一步完善功能模块、更新基础信息，现已正式恢复上线。</w:t>
      </w:r>
    </w:p>
    <w:p>
      <w:pPr>
        <w:spacing w:line="360" w:lineRule="auto"/>
        <w:ind w:firstLine="420" w:firstLineChars="200"/>
        <w:rPr>
          <w:rFonts w:hint="eastAsia" w:ascii="宋体" w:hAnsi="宋体"/>
        </w:rPr>
      </w:pPr>
      <w:r>
        <w:rPr>
          <w:rFonts w:ascii="宋体" w:hAnsi="宋体"/>
        </w:rPr>
        <w:t>10月27日，</w:t>
      </w:r>
      <w:r>
        <w:rPr>
          <w:rFonts w:hint="eastAsia" w:ascii="宋体" w:hAnsi="宋体"/>
        </w:rPr>
        <w:t>秘书处派员</w:t>
      </w:r>
      <w:r>
        <w:rPr>
          <w:rFonts w:ascii="宋体" w:hAnsi="宋体"/>
        </w:rPr>
        <w:t>参加宁波市涉外商事中立评估员（调解员）聘任仪式暨海商事多元解纷能力提升培训活动</w:t>
      </w:r>
      <w:r>
        <w:rPr>
          <w:rFonts w:hint="eastAsia" w:ascii="宋体" w:hAnsi="宋体"/>
        </w:rPr>
        <w:t>。通过培训，全面了解海商事解纷方面的基本概念和工作范畴。</w:t>
      </w:r>
    </w:p>
    <w:p>
      <w:pPr>
        <w:spacing w:line="360" w:lineRule="auto"/>
        <w:ind w:firstLine="420" w:firstLineChars="200"/>
        <w:rPr>
          <w:rFonts w:ascii="宋体" w:hAnsi="宋体"/>
        </w:rPr>
      </w:pPr>
      <w:r>
        <w:rPr>
          <w:rFonts w:ascii="宋体" w:hAnsi="宋体"/>
        </w:rPr>
        <w:t>10月31日，</w:t>
      </w:r>
      <w:r>
        <w:rPr>
          <w:rFonts w:hint="eastAsia" w:ascii="宋体" w:hAnsi="宋体"/>
        </w:rPr>
        <w:t>朱巧娟秘书长</w:t>
      </w:r>
      <w:r>
        <w:rPr>
          <w:rFonts w:ascii="宋体" w:hAnsi="宋体"/>
        </w:rPr>
        <w:t>参加首届“对话钱湖”人才主旨论坛</w:t>
      </w:r>
      <w:r>
        <w:rPr>
          <w:rFonts w:hint="eastAsia" w:ascii="宋体" w:hAnsi="宋体"/>
        </w:rPr>
        <w:t>。该论坛由宁波市委、市政府主办，宁波市政府发展研究中心承办。此次论坛明确提出了加快建设世界重要人才中心和创新高低战略支点城市这一目标。</w:t>
      </w:r>
    </w:p>
    <w:p>
      <w:pPr>
        <w:spacing w:line="360" w:lineRule="auto"/>
        <w:ind w:firstLine="420" w:firstLineChars="200"/>
        <w:rPr>
          <w:rFonts w:ascii="宋体" w:hAnsi="宋体"/>
        </w:rPr>
      </w:pPr>
      <w:r>
        <w:rPr>
          <w:rFonts w:ascii="宋体" w:hAnsi="宋体"/>
        </w:rPr>
        <w:t>11月16日</w:t>
      </w:r>
      <w:r>
        <w:rPr>
          <w:rFonts w:hint="eastAsia" w:ascii="宋体" w:hAnsi="宋体"/>
        </w:rPr>
        <w:t>，由我会承办的</w:t>
      </w:r>
      <w:r>
        <w:rPr>
          <w:rFonts w:ascii="宋体" w:hAnsi="宋体"/>
        </w:rPr>
        <w:t>2023涂料行业全球产业链高端交流会</w:t>
      </w:r>
      <w:r>
        <w:rPr>
          <w:rFonts w:hint="eastAsia" w:ascii="宋体" w:hAnsi="宋体"/>
        </w:rPr>
        <w:t>在上海成功举办。此次活动由秘书处与会长单位洪大实业共同策划和组织实施，为今后举办类似活动积累了经验，打下了基础。</w:t>
      </w:r>
    </w:p>
    <w:p>
      <w:pPr>
        <w:spacing w:line="360" w:lineRule="auto"/>
        <w:ind w:firstLine="420" w:firstLineChars="200"/>
        <w:rPr>
          <w:rFonts w:ascii="宋体" w:hAnsi="宋体"/>
        </w:rPr>
      </w:pPr>
      <w:r>
        <w:rPr>
          <w:rFonts w:ascii="宋体" w:hAnsi="宋体"/>
        </w:rPr>
        <w:t>11月23日</w:t>
      </w:r>
      <w:r>
        <w:rPr>
          <w:rFonts w:hint="eastAsia" w:ascii="宋体" w:hAnsi="宋体"/>
        </w:rPr>
        <w:t>朱巧娟秘书长</w:t>
      </w:r>
      <w:r>
        <w:rPr>
          <w:rFonts w:ascii="宋体" w:hAnsi="宋体"/>
        </w:rPr>
        <w:t>参加宁波市商务局贸易救济工作培训会议</w:t>
      </w:r>
      <w:r>
        <w:rPr>
          <w:rFonts w:hint="eastAsia" w:ascii="宋体" w:hAnsi="宋体"/>
        </w:rPr>
        <w:t>。会上市商务局有关领导和专家围绕企业在海外贸易中遇到的各种实际问题进行详细分析，并提出切实可行的帮扶措施，具有较强的针对性和实操性。</w:t>
      </w:r>
      <w:r>
        <w:rPr>
          <w:rFonts w:ascii="宋体" w:hAnsi="宋体"/>
        </w:rPr>
        <w:t xml:space="preserve">                                                                                      </w:t>
      </w:r>
    </w:p>
    <w:p>
      <w:pPr>
        <w:spacing w:line="360" w:lineRule="auto"/>
        <w:ind w:firstLine="1446" w:firstLineChars="600"/>
        <w:rPr>
          <w:rFonts w:hint="eastAsia" w:ascii="宋体" w:hAnsi="宋体"/>
          <w:b/>
          <w:bCs/>
          <w:sz w:val="24"/>
          <w:szCs w:val="24"/>
        </w:rPr>
      </w:pPr>
      <w:r>
        <w:rPr>
          <w:rFonts w:hint="eastAsia" w:ascii="宋体" w:hAnsi="宋体"/>
          <w:b/>
          <w:bCs/>
          <w:sz w:val="24"/>
          <w:szCs w:val="24"/>
        </w:rPr>
        <w:t>我会成功承办2</w:t>
      </w:r>
      <w:r>
        <w:rPr>
          <w:rFonts w:ascii="宋体" w:hAnsi="宋体"/>
          <w:b/>
          <w:bCs/>
          <w:sz w:val="24"/>
          <w:szCs w:val="24"/>
        </w:rPr>
        <w:t>023</w:t>
      </w:r>
      <w:r>
        <w:rPr>
          <w:rFonts w:hint="eastAsia" w:ascii="宋体" w:hAnsi="宋体"/>
          <w:b/>
          <w:bCs/>
          <w:sz w:val="24"/>
          <w:szCs w:val="24"/>
        </w:rPr>
        <w:t>涂料行业全球产业链高端交流会</w:t>
      </w:r>
    </w:p>
    <w:p>
      <w:pPr>
        <w:spacing w:line="360" w:lineRule="auto"/>
        <w:ind w:firstLine="1446" w:firstLineChars="600"/>
        <w:rPr>
          <w:rFonts w:hint="eastAsia" w:ascii="宋体" w:hAnsi="宋体"/>
          <w:b/>
          <w:bCs/>
          <w:sz w:val="24"/>
          <w:szCs w:val="24"/>
        </w:rPr>
      </w:pP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11月16日晚，2023涂料行业全球产业链高端交流会在上海新国际博览中心对面的喜马拉雅大酒店拉开帷幕。</w:t>
      </w: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这次高端交流会由百合花集团、百傲化学、科迪新材料、双乐颜料、申兰花色材、纳美新材料、倍特尔新材料、天时利蜻蜓供应链、龙鑫机械、锡华机械、宁波锐远、瑞彩科技等12家涂料行业知名企业共同发起主办，宁波化工贸促会具体承办。举办这次活动，初衷是尝试运用企业自身力量，携手整合资源，通过搭建国际化面对面交流平台，凝聚行业共识、助力出海对接，从而在全球经济复苏步履维艰的不利形势下，为涂料行业注入活力，提振信心，创造更多商机。</w:t>
      </w: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整场活动分为嘉宾致辞、自由交流、趣味抽奖三个板块，采取交叉进行的方式，显得丰富而又活泼。</w:t>
      </w: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傍晚17：30许，活动正式开始。首先由宁波化工贸促会会长、宁波洪大实业董事长袁俊杰致欢迎辞。他用”出海”两个字高度概括了这次活动的主旨。他表示，由主办单位和与会人士共同发起组建的这个国际化、专业化，充满新意与活力的“朋友圈”必定会擦出思想火花，结出丰硕的果实。并且将会吸引越来越多的同行加入，从而使它的含金量和影响力不断得到提升。然后是中国染料工业协会史献平会长致辞，他对这次活动给予了充分肯定，期待能取得丰硕成果。同时，对当前涂染颜行业的现状和发展方向做了专业性的简要阐述。接着，宁波贸促会副会长徐海峰、中染协副会长、中国有机颜料专委会副主任、百合花集团总裁陈立荣、上海涂料染料协会秘书长董怡平等领导和嘉宾也先后致辞，从不同角度分享对经济形势、行业现状、关键问题、未来前景、发展理念的看法和建议，并对本次高端交流会送上了美好祝愿，赢得了阵阵掌声。</w:t>
      </w:r>
      <w:r>
        <w:rPr>
          <w:rFonts w:ascii="宋体" w:hAnsi="宋体" w:eastAsia="宋体" w:cs="宋体"/>
          <w:sz w:val="24"/>
          <w:szCs w:val="24"/>
        </w:rPr>
        <w:drawing>
          <wp:inline distT="0" distB="0" distL="114300" distR="114300">
            <wp:extent cx="5134610" cy="3423285"/>
            <wp:effectExtent l="0" t="0" r="8890" b="57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134610" cy="3423285"/>
                    </a:xfrm>
                    <a:prstGeom prst="rect">
                      <a:avLst/>
                    </a:prstGeom>
                    <a:noFill/>
                    <a:ln w="9525">
                      <a:noFill/>
                    </a:ln>
                  </pic:spPr>
                </pic:pic>
              </a:graphicData>
            </a:graphic>
          </wp:inline>
        </w:drawing>
      </w: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现场气氛的感染下，与会人员情绪高昂 ，频频互动。各主办单位的代表和巴中化工友好协会副会长、墨西哥塑料工业协会副会长、委内瑞拉工业协会副秘书长、巴基斯坦化工染料工业协会理事等各国嘉宾还走上发言席，介绍情况，分享心得，提出建议。台上台下交流的话题广泛而深入，有对目前产业现状的看法和分析，有对涂料行业新蓝海的想象和期盼，有对上下游连接新模式的探讨，有对投资、技术、贸易等方面合作的浓厚意愿。</w:t>
      </w:r>
    </w:p>
    <w:p>
      <w:pPr>
        <w:widowControl/>
        <w:spacing w:line="360" w:lineRule="auto"/>
        <w:ind w:firstLine="420" w:firstLineChars="200"/>
        <w:jc w:val="left"/>
        <w:rPr>
          <w:rFonts w:hint="eastAsia" w:ascii="宋体" w:hAnsi="宋体" w:cs="宋体"/>
          <w:kern w:val="0"/>
        </w:rPr>
      </w:pPr>
      <w:r>
        <w:rPr>
          <w:rFonts w:hint="eastAsia" w:ascii="宋体" w:hAnsi="宋体" w:cs="宋体"/>
          <w:kern w:val="0"/>
        </w:rPr>
        <w:t xml:space="preserve"> 活动过程中还穿插一轮又一轮悬念迭生，充满趣味性和互动性的抽奖游戏。大家踊跃参与，尽情展示自我，加深了彼此间印象，拉近了相互间距离。应邀前来助兴的几位书法家和画家还在现场挥毫泼墨，即兴创作，为活动增添了别样的色彩和魅力。</w:t>
      </w:r>
    </w:p>
    <w:p>
      <w:pPr>
        <w:widowControl/>
        <w:spacing w:line="360" w:lineRule="auto"/>
        <w:ind w:firstLine="420" w:firstLineChars="200"/>
        <w:jc w:val="left"/>
        <w:rPr>
          <w:rFonts w:ascii="宋体" w:hAnsi="宋体" w:eastAsia="宋体" w:cs="宋体"/>
          <w:sz w:val="24"/>
          <w:szCs w:val="24"/>
        </w:rPr>
      </w:pPr>
      <w:r>
        <w:rPr>
          <w:rFonts w:hint="eastAsia" w:ascii="宋体" w:hAnsi="宋体" w:cs="宋体"/>
          <w:kern w:val="0"/>
        </w:rPr>
        <w:t>最后，大家走上舞台合影留念，将这个国际化的”朋友群”定格在难忘的时刻，为这场高端新颖、开放互动的行业交流活动划上了圆满句号。</w:t>
      </w:r>
      <w:r>
        <w:rPr>
          <w:rFonts w:ascii="宋体" w:hAnsi="宋体" w:eastAsia="宋体" w:cs="宋体"/>
          <w:sz w:val="24"/>
          <w:szCs w:val="24"/>
        </w:rPr>
        <w:drawing>
          <wp:inline distT="0" distB="0" distL="114300" distR="114300">
            <wp:extent cx="5702935" cy="3276600"/>
            <wp:effectExtent l="0" t="0" r="1206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5"/>
                    <a:stretch>
                      <a:fillRect/>
                    </a:stretch>
                  </pic:blipFill>
                  <pic:spPr>
                    <a:xfrm>
                      <a:off x="0" y="0"/>
                      <a:ext cx="5702935" cy="3276600"/>
                    </a:xfrm>
                    <a:prstGeom prst="rect">
                      <a:avLst/>
                    </a:prstGeom>
                    <a:noFill/>
                    <a:ln w="9525">
                      <a:noFill/>
                    </a:ln>
                  </pic:spPr>
                </pic:pic>
              </a:graphicData>
            </a:graphic>
          </wp:inline>
        </w:drawing>
      </w:r>
    </w:p>
    <w:p>
      <w:pPr>
        <w:widowControl/>
        <w:spacing w:line="360" w:lineRule="auto"/>
        <w:ind w:firstLine="480" w:firstLineChars="200"/>
        <w:jc w:val="left"/>
        <w:rPr>
          <w:rFonts w:hint="eastAsia" w:ascii="宋体" w:hAnsi="宋体" w:eastAsia="宋体" w:cs="宋体"/>
          <w:sz w:val="24"/>
          <w:szCs w:val="24"/>
        </w:rPr>
      </w:pPr>
      <w:bookmarkStart w:id="3" w:name="_GoBack"/>
      <w:bookmarkEnd w:id="3"/>
    </w:p>
    <w:p>
      <w:pPr>
        <w:pStyle w:val="4"/>
        <w:shd w:val="clear" w:color="auto" w:fill="FFFFFF"/>
        <w:spacing w:before="15" w:beforeAutospacing="0" w:after="15" w:afterAutospacing="0" w:line="360" w:lineRule="auto"/>
        <w:ind w:firstLine="1470" w:firstLineChars="700"/>
        <w:rPr>
          <w:b/>
          <w:bCs/>
          <w:sz w:val="21"/>
          <w:szCs w:val="21"/>
        </w:rPr>
      </w:pPr>
      <w:r>
        <w:rPr>
          <w:rFonts w:hint="eastAsia" w:cs="微软雅黑" w:asciiTheme="majorEastAsia" w:hAnsiTheme="majorEastAsia" w:eastAsiaTheme="majorEastAsia"/>
          <w:color w:val="333333"/>
          <w:kern w:val="2"/>
          <w:sz w:val="21"/>
          <w:szCs w:val="21"/>
        </w:rPr>
        <mc:AlternateContent>
          <mc:Choice Requires="wps">
            <w:drawing>
              <wp:anchor distT="0" distB="0" distL="114300" distR="114300" simplePos="0" relativeHeight="251661312" behindDoc="0" locked="0" layoutInCell="1" allowOverlap="1">
                <wp:simplePos x="0" y="0"/>
                <wp:positionH relativeFrom="margin">
                  <wp:posOffset>-43180</wp:posOffset>
                </wp:positionH>
                <wp:positionV relativeFrom="paragraph">
                  <wp:posOffset>124460</wp:posOffset>
                </wp:positionV>
                <wp:extent cx="1009650" cy="476250"/>
                <wp:effectExtent l="57150" t="38100" r="76200" b="95250"/>
                <wp:wrapNone/>
                <wp:docPr id="1690715734" name="矩形: 圆角 1"/>
                <wp:cNvGraphicFramePr/>
                <a:graphic xmlns:a="http://schemas.openxmlformats.org/drawingml/2006/main">
                  <a:graphicData uri="http://schemas.microsoft.com/office/word/2010/wordprocessingShape">
                    <wps:wsp>
                      <wps:cNvSpPr/>
                      <wps:spPr>
                        <a:xfrm>
                          <a:off x="0" y="0"/>
                          <a:ext cx="1009650" cy="476250"/>
                        </a:xfrm>
                        <a:prstGeom prst="roundRect">
                          <a:avLst>
                            <a:gd name="adj" fmla="val 2667"/>
                          </a:avLst>
                        </a:prstGeom>
                      </wps:spPr>
                      <wps:style>
                        <a:lnRef idx="1">
                          <a:schemeClr val="dk1"/>
                        </a:lnRef>
                        <a:fillRef idx="2">
                          <a:schemeClr val="dk1"/>
                        </a:fillRef>
                        <a:effectRef idx="1">
                          <a:schemeClr val="dk1"/>
                        </a:effectRef>
                        <a:fontRef idx="minor">
                          <a:schemeClr val="dk1"/>
                        </a:fontRef>
                      </wps:style>
                      <wps:txbx>
                        <w:txbxContent>
                          <w:p>
                            <w:pPr>
                              <w:jc w:val="center"/>
                              <w:rPr>
                                <w:rFonts w:ascii="华文新魏" w:eastAsia="华文新魏"/>
                                <w:sz w:val="30"/>
                                <w:szCs w:val="30"/>
                              </w:rPr>
                            </w:pPr>
                            <w:r>
                              <w:rPr>
                                <w:rFonts w:hint="eastAsia" w:ascii="华文新魏" w:eastAsia="华文新魏"/>
                                <w:sz w:val="30"/>
                                <w:szCs w:val="30"/>
                              </w:rPr>
                              <w:t>会员风采</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1" o:spid="_x0000_s1026" o:spt="2" style="position:absolute;left:0pt;margin-left:-3.4pt;margin-top:9.8pt;height:37.5pt;width:79.5pt;mso-position-horizontal-relative:margin;z-index:251661312;v-text-anchor:middle;mso-width-relative:page;mso-height-relative:page;" fillcolor="#BCBCBC [3216]" filled="t" stroked="t" coordsize="21600,21600" arcsize="0.0266666666666667" o:gfxdata="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jc w:val="center"/>
                        <w:rPr>
                          <w:rFonts w:ascii="华文新魏" w:eastAsia="华文新魏"/>
                          <w:sz w:val="30"/>
                          <w:szCs w:val="30"/>
                        </w:rPr>
                      </w:pPr>
                      <w:r>
                        <w:rPr>
                          <w:rFonts w:hint="eastAsia" w:ascii="华文新魏" w:eastAsia="华文新魏"/>
                          <w:sz w:val="30"/>
                          <w:szCs w:val="30"/>
                        </w:rPr>
                        <w:t>会员风采</w:t>
                      </w:r>
                    </w:p>
                  </w:txbxContent>
                </v:textbox>
              </v:roundrect>
            </w:pict>
          </mc:Fallback>
        </mc:AlternateContent>
      </w:r>
    </w:p>
    <w:p>
      <w:pPr>
        <w:pStyle w:val="4"/>
        <w:shd w:val="clear" w:color="auto" w:fill="FFFFFF"/>
        <w:spacing w:before="15" w:beforeAutospacing="0" w:after="15" w:afterAutospacing="0" w:line="360" w:lineRule="auto"/>
        <w:ind w:firstLine="2409" w:firstLineChars="1000"/>
        <w:rPr>
          <w:b/>
          <w:bCs/>
        </w:rPr>
      </w:pPr>
      <w:r>
        <w:rPr>
          <w:rFonts w:hint="eastAsia"/>
          <w:b/>
          <w:bCs/>
        </w:rPr>
        <w:t>镇洋发展获上市公司“金牛奖-金信披奖”殊荣</w:t>
      </w:r>
    </w:p>
    <w:p>
      <w:pPr>
        <w:widowControl/>
        <w:spacing w:line="360" w:lineRule="auto"/>
        <w:ind w:firstLine="420" w:firstLineChars="200"/>
        <w:jc w:val="left"/>
        <w:rPr>
          <w:rFonts w:ascii="宋体" w:hAnsi="宋体" w:cs="宋体"/>
          <w:kern w:val="0"/>
        </w:rPr>
      </w:pPr>
      <w:r>
        <w:rPr>
          <w:rFonts w:ascii="宋体" w:hAnsi="宋体" w:cs="宋体"/>
          <w:kern w:val="0"/>
        </w:rPr>
        <w:t>近日，由中国证券报、南通市人民政府联合主办的2023上市公司高质量发展论坛暨第二十五届上市公司金牛奖颁奖典礼在江苏南通隆重举行。凭借在信息披露、投资者关系管理等方面的优异表现，</w:t>
      </w:r>
      <w:r>
        <w:rPr>
          <w:rFonts w:hint="eastAsia" w:ascii="宋体" w:hAnsi="宋体" w:cs="宋体"/>
          <w:kern w:val="0"/>
        </w:rPr>
        <w:t>我会副会长单位、浙江镇洋发展股份</w:t>
      </w:r>
      <w:r>
        <w:rPr>
          <w:rFonts w:ascii="宋体" w:hAnsi="宋体" w:cs="宋体"/>
          <w:kern w:val="0"/>
        </w:rPr>
        <w:t>公司荣获“第二十五届上市公司金信披奖”。此前，公司在上交所主板上市公司2022-2023年度信息披露考核中已获评最高评级A级。</w:t>
      </w:r>
    </w:p>
    <w:p>
      <w:pPr>
        <w:widowControl/>
        <w:spacing w:line="360" w:lineRule="auto"/>
        <w:ind w:firstLine="420" w:firstLineChars="200"/>
        <w:jc w:val="left"/>
        <w:rPr>
          <w:rFonts w:ascii="宋体" w:hAnsi="宋体" w:cs="宋体"/>
          <w:kern w:val="0"/>
          <w:sz w:val="24"/>
          <w:szCs w:val="24"/>
        </w:rPr>
      </w:pPr>
      <w:r>
        <w:rPr>
          <w:rFonts w:ascii="宋体" w:hAnsi="宋体" w:cs="宋体"/>
          <w:kern w:val="0"/>
        </w:rPr>
        <w:t>金牛奖是中国资本市场最具公信力和影响力的权威奖项之一。本届上市公司金牛奖共设置最具投资价值奖、科创奖、金信披奖等八大奖项。其中，金信披奖主要表彰在信息披露、沟通方式、公共关系管理、投资者关系管理等方面表现突出的上市公司。在已入围的共计4169家A股上市公司中，荣获此奖项的仅有305家，占入围总数的比例不超过10%。这不仅是对</w:t>
      </w:r>
      <w:r>
        <w:rPr>
          <w:rFonts w:hint="eastAsia" w:ascii="宋体" w:hAnsi="宋体" w:cs="宋体"/>
          <w:kern w:val="0"/>
        </w:rPr>
        <w:t>镇洋公司</w:t>
      </w:r>
      <w:r>
        <w:rPr>
          <w:rFonts w:ascii="宋体" w:hAnsi="宋体" w:cs="宋体"/>
          <w:kern w:val="0"/>
        </w:rPr>
        <w:t>综合实力的充分肯定，也是对公司信息披露质量、规范运作水平的高度认可</w:t>
      </w:r>
      <w:r>
        <w:rPr>
          <w:rFonts w:ascii="宋体" w:hAnsi="宋体" w:cs="宋体"/>
          <w:kern w:val="0"/>
          <w:sz w:val="24"/>
          <w:szCs w:val="24"/>
        </w:rPr>
        <w:t>。</w:t>
      </w:r>
    </w:p>
    <w:p>
      <w:pPr>
        <w:spacing w:line="360" w:lineRule="auto"/>
      </w:pPr>
      <w:r>
        <w:rPr>
          <w:rFonts w:ascii="宋体" w:hAnsi="宋体" w:cs="宋体"/>
          <w:kern w:val="0"/>
          <w:sz w:val="24"/>
          <w:szCs w:val="24"/>
        </w:rPr>
        <w:drawing>
          <wp:inline distT="0" distB="0" distL="0" distR="0">
            <wp:extent cx="3905250" cy="1685925"/>
            <wp:effectExtent l="0" t="0" r="0" b="9525"/>
            <wp:docPr id="2"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941951" cy="1701876"/>
                    </a:xfrm>
                    <a:prstGeom prst="rect">
                      <a:avLst/>
                    </a:prstGeom>
                    <a:noFill/>
                    <a:ln>
                      <a:noFill/>
                    </a:ln>
                  </pic:spPr>
                </pic:pic>
              </a:graphicData>
            </a:graphic>
          </wp:inline>
        </w:drawing>
      </w:r>
    </w:p>
    <w:p>
      <w:pPr>
        <w:ind w:firstLine="1680" w:firstLineChars="800"/>
        <w:rPr>
          <w:rFonts w:cs="微软雅黑" w:asciiTheme="majorEastAsia" w:hAnsiTheme="majorEastAsia" w:eastAsiaTheme="majorEastAsia"/>
          <w:color w:val="333333"/>
          <w:shd w:val="clear" w:color="auto" w:fill="FFFFFF"/>
        </w:rPr>
      </w:pPr>
      <w:r>
        <w:rPr>
          <w:rFonts w:cs="微软雅黑" w:asciiTheme="majorEastAsia" w:hAnsiTheme="majorEastAsia" w:eastAsiaTheme="majorEastAsia"/>
          <w:color w:val="333333"/>
          <w:shd w:val="clear" w:color="auto" w:fill="FFFFFF"/>
        </w:rPr>
        <w:t xml:space="preserve">     </w:t>
      </w:r>
    </w:p>
    <w:p>
      <w:pPr>
        <w:ind w:firstLine="2168" w:firstLineChars="800"/>
        <w:rPr>
          <w:rFonts w:ascii="宋体" w:hAnsi="宋体"/>
          <w:b/>
          <w:bCs/>
          <w:color w:val="000000"/>
          <w:spacing w:val="15"/>
          <w:sz w:val="24"/>
          <w:szCs w:val="24"/>
        </w:rPr>
      </w:pPr>
      <w:r>
        <w:rPr>
          <w:rFonts w:hint="eastAsia" w:ascii="宋体" w:hAnsi="宋体"/>
          <w:b/>
          <w:bCs/>
          <w:color w:val="000000"/>
          <w:spacing w:val="15"/>
          <w:sz w:val="24"/>
          <w:szCs w:val="24"/>
        </w:rPr>
        <w:t>三江益农参加</w:t>
      </w:r>
      <w:r>
        <w:rPr>
          <w:rFonts w:ascii="宋体" w:hAnsi="宋体"/>
          <w:b/>
          <w:bCs/>
          <w:color w:val="000000"/>
          <w:spacing w:val="15"/>
          <w:sz w:val="24"/>
          <w:szCs w:val="24"/>
        </w:rPr>
        <w:t>第37届中国植保</w:t>
      </w:r>
      <w:r>
        <w:rPr>
          <w:rFonts w:hint="eastAsia" w:ascii="宋体" w:hAnsi="宋体"/>
          <w:b/>
          <w:bCs/>
          <w:color w:val="000000"/>
          <w:spacing w:val="15"/>
          <w:sz w:val="24"/>
          <w:szCs w:val="24"/>
        </w:rPr>
        <w:t>双交</w:t>
      </w:r>
      <w:r>
        <w:rPr>
          <w:rFonts w:ascii="宋体" w:hAnsi="宋体"/>
          <w:b/>
          <w:bCs/>
          <w:color w:val="000000"/>
          <w:spacing w:val="15"/>
          <w:sz w:val="24"/>
          <w:szCs w:val="24"/>
        </w:rPr>
        <w:t>会</w:t>
      </w:r>
    </w:p>
    <w:p>
      <w:pPr>
        <w:spacing w:line="360" w:lineRule="auto"/>
        <w:ind w:firstLine="480" w:firstLineChars="200"/>
        <w:rPr>
          <w:rFonts w:ascii="宋体" w:hAnsi="宋体"/>
          <w:color w:val="000000"/>
          <w:spacing w:val="15"/>
        </w:rPr>
      </w:pPr>
      <w:r>
        <w:rPr>
          <w:rFonts w:ascii="宋体" w:hAnsi="宋体"/>
          <w:color w:val="000000"/>
          <w:spacing w:val="15"/>
        </w:rPr>
        <w:t>2023年11月19-21日，</w:t>
      </w:r>
      <w:bookmarkStart w:id="2" w:name="_Hlk153198092"/>
      <w:r>
        <w:rPr>
          <w:rFonts w:ascii="宋体" w:hAnsi="宋体"/>
          <w:color w:val="000000"/>
          <w:spacing w:val="15"/>
        </w:rPr>
        <w:t>第37届中国植保信息交流会</w:t>
      </w:r>
      <w:bookmarkEnd w:id="2"/>
      <w:r>
        <w:rPr>
          <w:rFonts w:ascii="宋体" w:hAnsi="宋体"/>
          <w:color w:val="000000"/>
          <w:spacing w:val="15"/>
        </w:rPr>
        <w:t>暨农药械交易会（以下简称：中国植保双交会）在中国长沙国际会展中心隆重开幕。此次中国植保双交会时隔2年“重启”，在长沙开启新的篇章。本届中国植保双交会深入贯彻落实新一轮粮食产能提升行动部署，以“科学用药 绿色发展”为主题，秉承“沟通信息、展示成果、促进对接、引领发展”宗旨，突出“务实、简约、安全、高效”原则，吸引了近1000家企业参展，现场观展交流超15万人次。</w:t>
      </w:r>
      <w:r>
        <w:rPr>
          <w:rFonts w:ascii="宋体" w:hAnsi="宋体"/>
          <w:color w:val="000000"/>
          <w:spacing w:val="15"/>
        </w:rPr>
        <w:br w:type="textWrapping"/>
      </w:r>
      <w:r>
        <w:rPr>
          <w:rFonts w:hint="eastAsia" w:ascii="宋体" w:hAnsi="宋体"/>
          <w:color w:val="000000"/>
          <w:spacing w:val="15"/>
        </w:rPr>
        <w:t xml:space="preserve"> </w:t>
      </w:r>
      <w:r>
        <w:rPr>
          <w:rFonts w:ascii="宋体" w:hAnsi="宋体"/>
          <w:color w:val="000000"/>
          <w:spacing w:val="15"/>
        </w:rPr>
        <w:t xml:space="preserve">  </w:t>
      </w:r>
      <w:r>
        <w:rPr>
          <w:rFonts w:hint="eastAsia" w:ascii="宋体" w:hAnsi="宋体"/>
          <w:color w:val="000000"/>
          <w:spacing w:val="15"/>
        </w:rPr>
        <w:t>我会副会长单位、</w:t>
      </w:r>
      <w:r>
        <w:rPr>
          <w:rFonts w:ascii="宋体" w:hAnsi="宋体"/>
          <w:color w:val="000000"/>
          <w:spacing w:val="15"/>
        </w:rPr>
        <w:t>宁波三江益农化学有限公司继续以VIP展位隆重亮相此次中国植保双交会。在展会上公司以“为人类，为自然”为宣传主题，依托公司的差异化产品和服务，重点宣传公司绿色矿物源无机铜、绿色干悬浮剂、绿色种子处理业务，符合本次植保会绿色发展的主题思想。</w:t>
      </w:r>
      <w:r>
        <w:rPr>
          <w:rFonts w:ascii="宋体" w:hAnsi="宋体"/>
        </w:rPr>
        <w:br w:type="textWrapping"/>
      </w:r>
      <w:r>
        <w:rPr>
          <w:rFonts w:hint="eastAsia" w:ascii="宋体" w:hAnsi="宋体"/>
          <w:color w:val="000000"/>
          <w:spacing w:val="15"/>
        </w:rPr>
        <w:t xml:space="preserve"> </w:t>
      </w:r>
      <w:r>
        <w:rPr>
          <w:rFonts w:ascii="宋体" w:hAnsi="宋体"/>
          <w:color w:val="000000"/>
          <w:spacing w:val="15"/>
        </w:rPr>
        <w:t xml:space="preserve">  展会期间三江益农充分展示了公司差异化定位，绿色发展的产品，差异化的服务吸引了大量客商驻足、咨询和洽谈业务。此次展会，三江益农共计接访农资经销商朋友2000余人，通过交流与洽谈，使各界朋友进一步熟悉三江益农的企业文化、定位和产品信息。</w:t>
      </w:r>
      <w:r>
        <w:rPr>
          <w:rFonts w:ascii="宋体" w:hAnsi="宋体"/>
          <w:color w:val="000000"/>
          <w:spacing w:val="15"/>
        </w:rPr>
        <w:br w:type="textWrapping"/>
      </w:r>
      <w:r>
        <w:rPr>
          <w:rFonts w:hint="eastAsia" w:ascii="宋体" w:hAnsi="宋体"/>
          <w:color w:val="000000"/>
          <w:spacing w:val="15"/>
        </w:rPr>
        <w:t xml:space="preserve"> </w:t>
      </w:r>
      <w:r>
        <w:rPr>
          <w:rFonts w:ascii="宋体" w:hAnsi="宋体"/>
          <w:color w:val="000000"/>
          <w:spacing w:val="15"/>
        </w:rPr>
        <w:t xml:space="preserve">  本次展会为三江益农与更多农资经销商朋友创造了业务合作的机会。三江益农的成功参展也为公司2024年再上新台阶开启了一个良好的开端并打下了良好的基础。</w:t>
      </w:r>
    </w:p>
    <w:p>
      <w:pPr>
        <w:spacing w:line="360" w:lineRule="auto"/>
        <w:ind w:firstLine="420" w:firstLineChars="200"/>
        <w:rPr>
          <w:rFonts w:ascii="宋体" w:hAnsi="宋体"/>
        </w:rPr>
      </w:pPr>
      <w:r>
        <w:rPr>
          <w:rFonts w:ascii="宋体" w:hAnsi="宋体"/>
        </w:rPr>
        <w:drawing>
          <wp:inline distT="0" distB="0" distL="0" distR="0">
            <wp:extent cx="3257550" cy="2228215"/>
            <wp:effectExtent l="0" t="0" r="0" b="635"/>
            <wp:docPr id="2460777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77716" name="图片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rot="10800000" flipH="1" flipV="1">
                      <a:off x="0" y="0"/>
                      <a:ext cx="3284896" cy="2247540"/>
                    </a:xfrm>
                    <a:prstGeom prst="rect">
                      <a:avLst/>
                    </a:prstGeom>
                    <a:noFill/>
                    <a:ln>
                      <a:noFill/>
                    </a:ln>
                  </pic:spPr>
                </pic:pic>
              </a:graphicData>
            </a:graphic>
          </wp:inline>
        </w:drawing>
      </w:r>
    </w:p>
    <w:p>
      <w:pPr>
        <w:spacing w:line="360" w:lineRule="auto"/>
        <w:ind w:firstLine="840" w:firstLineChars="400"/>
        <w:rPr>
          <w:rFonts w:cs="微软雅黑" w:asciiTheme="majorEastAsia" w:hAnsiTheme="majorEastAsia" w:eastAsiaTheme="majorEastAsia"/>
          <w:color w:val="333333"/>
          <w:shd w:val="clear" w:color="auto" w:fill="FFFFFF"/>
        </w:rPr>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7E1094"/>
    <w:multiLevelType w:val="multilevel"/>
    <w:tmpl w:val="647E1094"/>
    <w:lvl w:ilvl="0" w:tentative="0">
      <w:start w:val="1"/>
      <w:numFmt w:val="bullet"/>
      <w:lvlText w:val=""/>
      <w:lvlJc w:val="left"/>
      <w:pPr>
        <w:ind w:left="880" w:hanging="440"/>
      </w:pPr>
      <w:rPr>
        <w:rFonts w:hint="default" w:ascii="Wingdings" w:hAnsi="Wingdings"/>
      </w:rPr>
    </w:lvl>
    <w:lvl w:ilvl="1" w:tentative="0">
      <w:start w:val="1"/>
      <w:numFmt w:val="bullet"/>
      <w:lvlText w:val=""/>
      <w:lvlJc w:val="left"/>
      <w:pPr>
        <w:ind w:left="1320" w:hanging="440"/>
      </w:pPr>
      <w:rPr>
        <w:rFonts w:hint="default" w:ascii="Wingdings" w:hAnsi="Wingdings"/>
      </w:rPr>
    </w:lvl>
    <w:lvl w:ilvl="2" w:tentative="0">
      <w:start w:val="1"/>
      <w:numFmt w:val="bullet"/>
      <w:lvlText w:val=""/>
      <w:lvlJc w:val="left"/>
      <w:pPr>
        <w:ind w:left="1760" w:hanging="440"/>
      </w:pPr>
      <w:rPr>
        <w:rFonts w:hint="default" w:ascii="Wingdings" w:hAnsi="Wingdings"/>
      </w:rPr>
    </w:lvl>
    <w:lvl w:ilvl="3" w:tentative="0">
      <w:start w:val="1"/>
      <w:numFmt w:val="bullet"/>
      <w:lvlText w:val=""/>
      <w:lvlJc w:val="left"/>
      <w:pPr>
        <w:ind w:left="2200" w:hanging="440"/>
      </w:pPr>
      <w:rPr>
        <w:rFonts w:hint="default" w:ascii="Wingdings" w:hAnsi="Wingdings"/>
      </w:rPr>
    </w:lvl>
    <w:lvl w:ilvl="4" w:tentative="0">
      <w:start w:val="1"/>
      <w:numFmt w:val="bullet"/>
      <w:lvlText w:val=""/>
      <w:lvlJc w:val="left"/>
      <w:pPr>
        <w:ind w:left="2640" w:hanging="440"/>
      </w:pPr>
      <w:rPr>
        <w:rFonts w:hint="default" w:ascii="Wingdings" w:hAnsi="Wingdings"/>
      </w:rPr>
    </w:lvl>
    <w:lvl w:ilvl="5" w:tentative="0">
      <w:start w:val="1"/>
      <w:numFmt w:val="bullet"/>
      <w:lvlText w:val=""/>
      <w:lvlJc w:val="left"/>
      <w:pPr>
        <w:ind w:left="3080" w:hanging="440"/>
      </w:pPr>
      <w:rPr>
        <w:rFonts w:hint="default" w:ascii="Wingdings" w:hAnsi="Wingdings"/>
      </w:rPr>
    </w:lvl>
    <w:lvl w:ilvl="6" w:tentative="0">
      <w:start w:val="1"/>
      <w:numFmt w:val="bullet"/>
      <w:lvlText w:val=""/>
      <w:lvlJc w:val="left"/>
      <w:pPr>
        <w:ind w:left="3520" w:hanging="440"/>
      </w:pPr>
      <w:rPr>
        <w:rFonts w:hint="default" w:ascii="Wingdings" w:hAnsi="Wingdings"/>
      </w:rPr>
    </w:lvl>
    <w:lvl w:ilvl="7" w:tentative="0">
      <w:start w:val="1"/>
      <w:numFmt w:val="bullet"/>
      <w:lvlText w:val=""/>
      <w:lvlJc w:val="left"/>
      <w:pPr>
        <w:ind w:left="3960" w:hanging="440"/>
      </w:pPr>
      <w:rPr>
        <w:rFonts w:hint="default" w:ascii="Wingdings" w:hAnsi="Wingdings"/>
      </w:rPr>
    </w:lvl>
    <w:lvl w:ilvl="8" w:tentative="0">
      <w:start w:val="1"/>
      <w:numFmt w:val="bullet"/>
      <w:lvlText w:val=""/>
      <w:lvlJc w:val="left"/>
      <w:pPr>
        <w:ind w:left="440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I0NTgyZWUxYmE0YzVmODIzMjBjY2Q5MjI4Zjg5ODAifQ=="/>
  </w:docVars>
  <w:rsids>
    <w:rsidRoot w:val="00813A67"/>
    <w:rsid w:val="0000058B"/>
    <w:rsid w:val="00006E08"/>
    <w:rsid w:val="0001554B"/>
    <w:rsid w:val="00031030"/>
    <w:rsid w:val="00036B8D"/>
    <w:rsid w:val="000418AE"/>
    <w:rsid w:val="00046BFC"/>
    <w:rsid w:val="000572A0"/>
    <w:rsid w:val="00057DF3"/>
    <w:rsid w:val="00057ED1"/>
    <w:rsid w:val="00080129"/>
    <w:rsid w:val="00085DC2"/>
    <w:rsid w:val="000A0603"/>
    <w:rsid w:val="000A347F"/>
    <w:rsid w:val="000A56DB"/>
    <w:rsid w:val="000C469E"/>
    <w:rsid w:val="000D2309"/>
    <w:rsid w:val="000D63C8"/>
    <w:rsid w:val="000F4B65"/>
    <w:rsid w:val="001128CF"/>
    <w:rsid w:val="00113156"/>
    <w:rsid w:val="001132CC"/>
    <w:rsid w:val="00120524"/>
    <w:rsid w:val="00122CE0"/>
    <w:rsid w:val="00123C33"/>
    <w:rsid w:val="00130108"/>
    <w:rsid w:val="001308C0"/>
    <w:rsid w:val="0013240D"/>
    <w:rsid w:val="00135546"/>
    <w:rsid w:val="00150161"/>
    <w:rsid w:val="00157AA9"/>
    <w:rsid w:val="001672C7"/>
    <w:rsid w:val="001722C2"/>
    <w:rsid w:val="001725A7"/>
    <w:rsid w:val="001749B2"/>
    <w:rsid w:val="00184617"/>
    <w:rsid w:val="001C3329"/>
    <w:rsid w:val="001D6272"/>
    <w:rsid w:val="001E573A"/>
    <w:rsid w:val="0020009C"/>
    <w:rsid w:val="00202B95"/>
    <w:rsid w:val="00220287"/>
    <w:rsid w:val="00225972"/>
    <w:rsid w:val="00246FAB"/>
    <w:rsid w:val="002562E9"/>
    <w:rsid w:val="00286D5B"/>
    <w:rsid w:val="00296E87"/>
    <w:rsid w:val="002A314D"/>
    <w:rsid w:val="002A7C53"/>
    <w:rsid w:val="002B1F5C"/>
    <w:rsid w:val="002B3936"/>
    <w:rsid w:val="002C15F8"/>
    <w:rsid w:val="002C4C7B"/>
    <w:rsid w:val="002E55DA"/>
    <w:rsid w:val="00301C9F"/>
    <w:rsid w:val="00304EFA"/>
    <w:rsid w:val="003052CE"/>
    <w:rsid w:val="00316861"/>
    <w:rsid w:val="00323E67"/>
    <w:rsid w:val="003363C6"/>
    <w:rsid w:val="0035430D"/>
    <w:rsid w:val="00361F81"/>
    <w:rsid w:val="00363CAD"/>
    <w:rsid w:val="00374D1B"/>
    <w:rsid w:val="00387454"/>
    <w:rsid w:val="003A182C"/>
    <w:rsid w:val="003B14CC"/>
    <w:rsid w:val="003E3289"/>
    <w:rsid w:val="003E7594"/>
    <w:rsid w:val="003F212E"/>
    <w:rsid w:val="004041D8"/>
    <w:rsid w:val="0042796D"/>
    <w:rsid w:val="004355FD"/>
    <w:rsid w:val="00440425"/>
    <w:rsid w:val="004427A8"/>
    <w:rsid w:val="00442890"/>
    <w:rsid w:val="0044588D"/>
    <w:rsid w:val="00464F89"/>
    <w:rsid w:val="00467721"/>
    <w:rsid w:val="0047573E"/>
    <w:rsid w:val="00486067"/>
    <w:rsid w:val="004A59E7"/>
    <w:rsid w:val="004C7829"/>
    <w:rsid w:val="004D43EC"/>
    <w:rsid w:val="004E19D4"/>
    <w:rsid w:val="004E2B26"/>
    <w:rsid w:val="004E522D"/>
    <w:rsid w:val="004F2C77"/>
    <w:rsid w:val="004F4F42"/>
    <w:rsid w:val="004F5ADC"/>
    <w:rsid w:val="004F7A58"/>
    <w:rsid w:val="00513496"/>
    <w:rsid w:val="005338A1"/>
    <w:rsid w:val="00540A0E"/>
    <w:rsid w:val="00586D3F"/>
    <w:rsid w:val="00587B9D"/>
    <w:rsid w:val="00597595"/>
    <w:rsid w:val="005A5B44"/>
    <w:rsid w:val="005B1ACA"/>
    <w:rsid w:val="005B5B33"/>
    <w:rsid w:val="005C469B"/>
    <w:rsid w:val="005F5447"/>
    <w:rsid w:val="006002A5"/>
    <w:rsid w:val="006014E9"/>
    <w:rsid w:val="00604351"/>
    <w:rsid w:val="00615721"/>
    <w:rsid w:val="00615C99"/>
    <w:rsid w:val="00640C4C"/>
    <w:rsid w:val="00651BB9"/>
    <w:rsid w:val="0067477F"/>
    <w:rsid w:val="00674D9A"/>
    <w:rsid w:val="00691C0B"/>
    <w:rsid w:val="006B0888"/>
    <w:rsid w:val="006C49FC"/>
    <w:rsid w:val="006C4A96"/>
    <w:rsid w:val="006D440B"/>
    <w:rsid w:val="006D4E62"/>
    <w:rsid w:val="006E28B7"/>
    <w:rsid w:val="006E5EC7"/>
    <w:rsid w:val="006E6442"/>
    <w:rsid w:val="006F447A"/>
    <w:rsid w:val="007214F7"/>
    <w:rsid w:val="00722D79"/>
    <w:rsid w:val="0072422B"/>
    <w:rsid w:val="00725A21"/>
    <w:rsid w:val="0074541E"/>
    <w:rsid w:val="00752344"/>
    <w:rsid w:val="007532EF"/>
    <w:rsid w:val="00766BC4"/>
    <w:rsid w:val="00773942"/>
    <w:rsid w:val="00776871"/>
    <w:rsid w:val="00777625"/>
    <w:rsid w:val="00783CC0"/>
    <w:rsid w:val="0078747E"/>
    <w:rsid w:val="007A6277"/>
    <w:rsid w:val="007C08A1"/>
    <w:rsid w:val="007C0E62"/>
    <w:rsid w:val="007C678B"/>
    <w:rsid w:val="007D10C8"/>
    <w:rsid w:val="007D5ED5"/>
    <w:rsid w:val="00813A67"/>
    <w:rsid w:val="008205A8"/>
    <w:rsid w:val="00826FD4"/>
    <w:rsid w:val="00830F06"/>
    <w:rsid w:val="008372A3"/>
    <w:rsid w:val="008533ED"/>
    <w:rsid w:val="00875ED1"/>
    <w:rsid w:val="008948E4"/>
    <w:rsid w:val="008A0E6F"/>
    <w:rsid w:val="008A5512"/>
    <w:rsid w:val="008B47AC"/>
    <w:rsid w:val="008B68EA"/>
    <w:rsid w:val="008E5FF8"/>
    <w:rsid w:val="008F6C92"/>
    <w:rsid w:val="0092172A"/>
    <w:rsid w:val="00925284"/>
    <w:rsid w:val="00932E93"/>
    <w:rsid w:val="0093734C"/>
    <w:rsid w:val="00947B2D"/>
    <w:rsid w:val="00961302"/>
    <w:rsid w:val="00985A83"/>
    <w:rsid w:val="00997932"/>
    <w:rsid w:val="009A6EF2"/>
    <w:rsid w:val="009D3938"/>
    <w:rsid w:val="009D7367"/>
    <w:rsid w:val="009E06FB"/>
    <w:rsid w:val="009E68AC"/>
    <w:rsid w:val="009E7F14"/>
    <w:rsid w:val="009F2D53"/>
    <w:rsid w:val="00A02AAB"/>
    <w:rsid w:val="00A06263"/>
    <w:rsid w:val="00A17863"/>
    <w:rsid w:val="00A17C83"/>
    <w:rsid w:val="00A478E2"/>
    <w:rsid w:val="00A61854"/>
    <w:rsid w:val="00A62D03"/>
    <w:rsid w:val="00A87D35"/>
    <w:rsid w:val="00A95A06"/>
    <w:rsid w:val="00AA4444"/>
    <w:rsid w:val="00AB5EF6"/>
    <w:rsid w:val="00AC0647"/>
    <w:rsid w:val="00AC3495"/>
    <w:rsid w:val="00AE44A3"/>
    <w:rsid w:val="00B044D9"/>
    <w:rsid w:val="00B064B2"/>
    <w:rsid w:val="00B35E0C"/>
    <w:rsid w:val="00B45DDD"/>
    <w:rsid w:val="00B56495"/>
    <w:rsid w:val="00B97079"/>
    <w:rsid w:val="00BA6B61"/>
    <w:rsid w:val="00BB25F0"/>
    <w:rsid w:val="00BB4ECF"/>
    <w:rsid w:val="00BC201E"/>
    <w:rsid w:val="00BC6BBD"/>
    <w:rsid w:val="00BE3E83"/>
    <w:rsid w:val="00BF0DEA"/>
    <w:rsid w:val="00C1085B"/>
    <w:rsid w:val="00C20D58"/>
    <w:rsid w:val="00C217A3"/>
    <w:rsid w:val="00C2654B"/>
    <w:rsid w:val="00C456F2"/>
    <w:rsid w:val="00C50C74"/>
    <w:rsid w:val="00C55602"/>
    <w:rsid w:val="00C57E48"/>
    <w:rsid w:val="00C61363"/>
    <w:rsid w:val="00C66207"/>
    <w:rsid w:val="00C97A26"/>
    <w:rsid w:val="00CA7BFC"/>
    <w:rsid w:val="00CC5C00"/>
    <w:rsid w:val="00CC6456"/>
    <w:rsid w:val="00CD5B6B"/>
    <w:rsid w:val="00CF0F19"/>
    <w:rsid w:val="00CF3EA5"/>
    <w:rsid w:val="00CF5CA8"/>
    <w:rsid w:val="00D02874"/>
    <w:rsid w:val="00D0288B"/>
    <w:rsid w:val="00D07BFB"/>
    <w:rsid w:val="00D1269B"/>
    <w:rsid w:val="00D23F4D"/>
    <w:rsid w:val="00D374BB"/>
    <w:rsid w:val="00D52A5B"/>
    <w:rsid w:val="00D62A3C"/>
    <w:rsid w:val="00D6470B"/>
    <w:rsid w:val="00D727EE"/>
    <w:rsid w:val="00D72E46"/>
    <w:rsid w:val="00D75F99"/>
    <w:rsid w:val="00DA3ED4"/>
    <w:rsid w:val="00DB3FE4"/>
    <w:rsid w:val="00DB7B18"/>
    <w:rsid w:val="00DE06E2"/>
    <w:rsid w:val="00DF11E1"/>
    <w:rsid w:val="00DF70FF"/>
    <w:rsid w:val="00E00C16"/>
    <w:rsid w:val="00E34D79"/>
    <w:rsid w:val="00E45A74"/>
    <w:rsid w:val="00E47E04"/>
    <w:rsid w:val="00E540D0"/>
    <w:rsid w:val="00E755E5"/>
    <w:rsid w:val="00E91ED5"/>
    <w:rsid w:val="00E94372"/>
    <w:rsid w:val="00EA0E9B"/>
    <w:rsid w:val="00EA32AC"/>
    <w:rsid w:val="00EA4BE3"/>
    <w:rsid w:val="00EB4D73"/>
    <w:rsid w:val="00EC2B10"/>
    <w:rsid w:val="00EC2DCA"/>
    <w:rsid w:val="00ED3FA8"/>
    <w:rsid w:val="00EF6710"/>
    <w:rsid w:val="00EF754A"/>
    <w:rsid w:val="00F2241A"/>
    <w:rsid w:val="00F4065C"/>
    <w:rsid w:val="00F47838"/>
    <w:rsid w:val="00F4789A"/>
    <w:rsid w:val="00F5561B"/>
    <w:rsid w:val="00F842AB"/>
    <w:rsid w:val="00F937C8"/>
    <w:rsid w:val="00F97C08"/>
    <w:rsid w:val="00FA0A17"/>
    <w:rsid w:val="00FB3545"/>
    <w:rsid w:val="00FB691B"/>
    <w:rsid w:val="00FF4F65"/>
    <w:rsid w:val="44B36E2C"/>
    <w:rsid w:val="781A6CF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7">
    <w:name w:val="Strong"/>
    <w:basedOn w:val="6"/>
    <w:qFormat/>
    <w:locked/>
    <w:uiPriority w:val="22"/>
    <w:rPr>
      <w:b/>
      <w:bCs/>
    </w:rPr>
  </w:style>
  <w:style w:type="character" w:customStyle="1" w:styleId="8">
    <w:name w:val="页眉 字符"/>
    <w:basedOn w:val="6"/>
    <w:link w:val="3"/>
    <w:qFormat/>
    <w:locked/>
    <w:uiPriority w:val="99"/>
    <w:rPr>
      <w:rFonts w:ascii="Times New Roman" w:hAnsi="Times New Roman" w:eastAsia="宋体" w:cs="Times New Roman"/>
      <w:sz w:val="18"/>
      <w:szCs w:val="18"/>
    </w:rPr>
  </w:style>
  <w:style w:type="character" w:customStyle="1" w:styleId="9">
    <w:name w:val="页脚 字符"/>
    <w:basedOn w:val="6"/>
    <w:link w:val="2"/>
    <w:semiHidden/>
    <w:qFormat/>
    <w:locked/>
    <w:uiPriority w:val="99"/>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B0F2FC-A879-407C-A777-F1A50141FFFB}">
  <ds:schemaRefs/>
</ds:datastoreItem>
</file>

<file path=docProps/app.xml><?xml version="1.0" encoding="utf-8"?>
<Properties xmlns="http://schemas.openxmlformats.org/officeDocument/2006/extended-properties" xmlns:vt="http://schemas.openxmlformats.org/officeDocument/2006/docPropsVTypes">
  <Template>Normal</Template>
  <Company>lodestar</Company>
  <Pages>6</Pages>
  <Words>670</Words>
  <Characters>3825</Characters>
  <Lines>31</Lines>
  <Paragraphs>8</Paragraphs>
  <TotalTime>55</TotalTime>
  <ScaleCrop>false</ScaleCrop>
  <LinksUpToDate>false</LinksUpToDate>
  <CharactersWithSpaces>4487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2023-12-11T07:33:00Z</dcterms:created>
  <dc:creator>微软用户</dc:creator>
  <cp:lastModifiedBy>欣然</cp:lastModifiedBy>
  <cp:lastPrinted>2011-02-14T06:01:00Z</cp:lastPrinted>
  <dcterms:modified xsi:type="dcterms:W3CDTF">2023-12-20T03:03:00Z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66E253F9CB37472C93382047515B2DBD_12</vt:lpwstr>
  </property>
</Properties>
</file>